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414EA">
      <w:pPr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5C8B030">
      <w:pPr>
        <w:spacing w:before="313" w:beforeLines="100" w:after="313" w:afterLines="100" w:line="640" w:lineRule="exact"/>
        <w:ind w:firstLine="0" w:firstLineChars="0"/>
        <w:jc w:val="center"/>
        <w:rPr>
          <w:rFonts w:ascii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年医疗器械发展与安全能力提升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培训班日程</w:t>
      </w:r>
    </w:p>
    <w:p w14:paraId="3848622A">
      <w:pPr>
        <w:rPr>
          <w:rFonts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10月</w:t>
      </w:r>
      <w:r>
        <w:rPr>
          <w:rFonts w:ascii="Times New Roman"/>
          <w:sz w:val="32"/>
          <w:szCs w:val="32"/>
        </w:rPr>
        <w:t>29</w:t>
      </w:r>
      <w:r>
        <w:rPr>
          <w:rFonts w:hint="default" w:ascii="Times New Roman"/>
          <w:sz w:val="32"/>
          <w:szCs w:val="32"/>
        </w:rPr>
        <w:t xml:space="preserve">日                  </w:t>
      </w:r>
    </w:p>
    <w:p w14:paraId="4DD5E5DE">
      <w:pPr>
        <w:rPr>
          <w:rFonts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我国医疗器械不良事件监测工作的发展与启示</w:t>
      </w:r>
    </w:p>
    <w:p w14:paraId="49D24AD3">
      <w:pPr>
        <w:rPr>
          <w:rFonts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医疗器械上市后监管与发展</w:t>
      </w:r>
    </w:p>
    <w:p w14:paraId="2764D810">
      <w:pPr>
        <w:rPr>
          <w:rFonts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医疗器械行业发展现状与展望</w:t>
      </w:r>
    </w:p>
    <w:p w14:paraId="2C245661">
      <w:pPr>
        <w:rPr>
          <w:rFonts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三医联动提升医院医疗器械不良事件管理实践</w:t>
      </w:r>
    </w:p>
    <w:p w14:paraId="74222C03">
      <w:pPr>
        <w:rPr>
          <w:rFonts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中国医疗器械警戒核心内容和关键举措</w:t>
      </w:r>
    </w:p>
    <w:p w14:paraId="70F3D7A5">
      <w:pPr>
        <w:rPr>
          <w:rFonts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医疗器械不良事件报告范围解读及故障类报告推进计划</w:t>
      </w:r>
    </w:p>
    <w:p w14:paraId="43FC3E38">
      <w:pPr>
        <w:rPr>
          <w:rFonts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医疗器械安全性评价对产品注册变更的影响</w:t>
      </w:r>
    </w:p>
    <w:p w14:paraId="32E25F13">
      <w:pPr>
        <w:rPr>
          <w:rFonts w:ascii="Times New Roman"/>
          <w:sz w:val="32"/>
          <w:szCs w:val="32"/>
        </w:rPr>
      </w:pPr>
    </w:p>
    <w:p w14:paraId="158FE343">
      <w:pPr>
        <w:rPr>
          <w:rFonts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10月3</w:t>
      </w:r>
      <w:r>
        <w:rPr>
          <w:rFonts w:ascii="Times New Roman"/>
          <w:sz w:val="32"/>
          <w:szCs w:val="32"/>
        </w:rPr>
        <w:t>0</w:t>
      </w:r>
      <w:r>
        <w:rPr>
          <w:rFonts w:hint="default" w:ascii="Times New Roman"/>
          <w:sz w:val="32"/>
          <w:szCs w:val="32"/>
        </w:rPr>
        <w:t xml:space="preserve">日             </w:t>
      </w:r>
    </w:p>
    <w:p w14:paraId="6865E4FC">
      <w:pPr>
        <w:rPr>
          <w:rFonts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医疗器械注册管理要求与重点工作</w:t>
      </w:r>
    </w:p>
    <w:p w14:paraId="041DE546">
      <w:pPr>
        <w:rPr>
          <w:rFonts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医疗器械临床评价实践与改革研究</w:t>
      </w:r>
    </w:p>
    <w:p w14:paraId="574FAEEF">
      <w:pPr>
        <w:rPr>
          <w:rFonts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体外诊断试剂产品评价关注点与常见问题</w:t>
      </w:r>
    </w:p>
    <w:p w14:paraId="5B345AB7">
      <w:pPr>
        <w:rPr>
          <w:rFonts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注册申请人角度谈如何利用审评审批改革提高申报质量和效率</w:t>
      </w:r>
    </w:p>
    <w:p w14:paraId="454CE514">
      <w:pPr>
        <w:rPr>
          <w:rFonts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医疗器械安全有效性评价思路</w:t>
      </w:r>
    </w:p>
    <w:p w14:paraId="46C7C7F2">
      <w:pPr>
        <w:rPr>
          <w:rFonts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医疗器械</w:t>
      </w:r>
      <w:r>
        <w:rPr>
          <w:rFonts w:hint="default" w:ascii="Times New Roman"/>
          <w:sz w:val="32"/>
          <w:szCs w:val="32"/>
        </w:rPr>
        <w:t>受</w:t>
      </w:r>
      <w:r>
        <w:rPr>
          <w:rFonts w:hint="default" w:ascii="Times New Roman"/>
          <w:sz w:val="32"/>
          <w:szCs w:val="32"/>
        </w:rPr>
        <w:t>益风险评价考虑</w:t>
      </w:r>
    </w:p>
    <w:p w14:paraId="052DFA34">
      <w:pPr>
        <w:rPr>
          <w:rFonts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国家医疗器械登记系统在上市后主动监测中的应用</w:t>
      </w:r>
    </w:p>
    <w:p w14:paraId="0C0A2E35">
      <w:pPr>
        <w:rPr>
          <w:rFonts w:ascii="Times New Roman"/>
          <w:sz w:val="32"/>
          <w:szCs w:val="32"/>
        </w:rPr>
      </w:pPr>
    </w:p>
    <w:p w14:paraId="3F776941">
      <w:pPr>
        <w:rPr>
          <w:rFonts w:ascii="Times New Roman"/>
          <w:sz w:val="32"/>
          <w:szCs w:val="32"/>
        </w:rPr>
      </w:pPr>
    </w:p>
    <w:p w14:paraId="46B2D747">
      <w:pPr>
        <w:rPr>
          <w:rFonts w:ascii="Times New Roman"/>
          <w:sz w:val="32"/>
          <w:szCs w:val="32"/>
        </w:rPr>
      </w:pPr>
    </w:p>
    <w:p w14:paraId="04EE2D97">
      <w:pPr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10</w:t>
      </w:r>
      <w:r>
        <w:rPr>
          <w:rFonts w:hint="default" w:ascii="Times New Roman"/>
          <w:sz w:val="32"/>
          <w:szCs w:val="32"/>
        </w:rPr>
        <w:t xml:space="preserve">月31日           </w:t>
      </w:r>
    </w:p>
    <w:p w14:paraId="79B6D4A9">
      <w:pPr>
        <w:rPr>
          <w:rFonts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医疗器械不良事件检查</w:t>
      </w:r>
      <w:r>
        <w:rPr>
          <w:rFonts w:hint="eastAsia" w:ascii="Times New Roman"/>
          <w:sz w:val="32"/>
          <w:szCs w:val="32"/>
          <w:lang w:val="en-US" w:eastAsia="zh-CN"/>
        </w:rPr>
        <w:t>重点</w:t>
      </w:r>
      <w:r>
        <w:rPr>
          <w:rFonts w:hint="default" w:ascii="Times New Roman"/>
          <w:sz w:val="32"/>
          <w:szCs w:val="32"/>
        </w:rPr>
        <w:t>与案例分析</w:t>
      </w:r>
    </w:p>
    <w:p w14:paraId="110DF015">
      <w:pPr>
        <w:rPr>
          <w:rFonts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医疗器械监督检查实践</w:t>
      </w:r>
    </w:p>
    <w:p w14:paraId="237AD55A">
      <w:pPr>
        <w:rPr>
          <w:rFonts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医疗器械分类规则与医疗器械分类界定办理程序介绍</w:t>
      </w:r>
    </w:p>
    <w:p w14:paraId="6345D890">
      <w:pPr>
        <w:rPr>
          <w:rFonts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医疗机构医疗器械警戒能力建设初探</w:t>
      </w:r>
    </w:p>
    <w:p w14:paraId="18F74E0D">
      <w:pPr>
        <w:rPr>
          <w:rFonts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国家医疗器械监测信息系统问题解析与优化方向</w:t>
      </w:r>
    </w:p>
    <w:p w14:paraId="04C7C7E1">
      <w:pPr>
        <w:rPr>
          <w:rFonts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注册人如何处置国家监测系统中医疗器械不良事件</w:t>
      </w:r>
    </w:p>
    <w:p w14:paraId="401C49DC">
      <w:pPr>
        <w:rPr>
          <w:rFonts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注册人角度谈如何做好医疗器械警戒工作</w:t>
      </w:r>
    </w:p>
    <w:p w14:paraId="0ED5CA2A">
      <w:pPr>
        <w:rPr>
          <w:rFonts w:ascii="Times New Roman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689" w:bottom="1440" w:left="1803" w:header="851" w:footer="992" w:gutter="0"/>
      <w:pgNumType w:fmt="numberInDash" w:start="5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3D3A5"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6E1329">
                          <w:pPr>
                            <w:pStyle w:val="4"/>
                            <w:ind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6E1329">
                    <w:pPr>
                      <w:pStyle w:val="4"/>
                      <w:ind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A35A2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6E6E5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836EC">
    <w:pPr>
      <w:pStyle w:val="5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F4061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10156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ZWU2Zjc3N2UyYWE3M2M5Mzg1MjU4MWQwYzdiZmUifQ=="/>
  </w:docVars>
  <w:rsids>
    <w:rsidRoot w:val="003C00A3"/>
    <w:rsid w:val="0002193F"/>
    <w:rsid w:val="00034E19"/>
    <w:rsid w:val="00073F8A"/>
    <w:rsid w:val="000804D0"/>
    <w:rsid w:val="000B795C"/>
    <w:rsid w:val="000C6382"/>
    <w:rsid w:val="000C6E1C"/>
    <w:rsid w:val="00117DFA"/>
    <w:rsid w:val="001617D3"/>
    <w:rsid w:val="00222DB5"/>
    <w:rsid w:val="0024665D"/>
    <w:rsid w:val="002A4F43"/>
    <w:rsid w:val="002B01CA"/>
    <w:rsid w:val="002B52EB"/>
    <w:rsid w:val="003209A6"/>
    <w:rsid w:val="00331E34"/>
    <w:rsid w:val="003563BD"/>
    <w:rsid w:val="003739DB"/>
    <w:rsid w:val="0039686A"/>
    <w:rsid w:val="003A5870"/>
    <w:rsid w:val="003C00A3"/>
    <w:rsid w:val="003E1EBD"/>
    <w:rsid w:val="00447D0E"/>
    <w:rsid w:val="0047247E"/>
    <w:rsid w:val="004A6A5C"/>
    <w:rsid w:val="00577E0A"/>
    <w:rsid w:val="005B0261"/>
    <w:rsid w:val="005F2CFB"/>
    <w:rsid w:val="005F67B2"/>
    <w:rsid w:val="006248C6"/>
    <w:rsid w:val="00667B05"/>
    <w:rsid w:val="00693310"/>
    <w:rsid w:val="006A2578"/>
    <w:rsid w:val="006F57B6"/>
    <w:rsid w:val="0072555B"/>
    <w:rsid w:val="0072776B"/>
    <w:rsid w:val="00755CBF"/>
    <w:rsid w:val="00761BE1"/>
    <w:rsid w:val="00784F5A"/>
    <w:rsid w:val="0085409A"/>
    <w:rsid w:val="00866F54"/>
    <w:rsid w:val="008F0453"/>
    <w:rsid w:val="008F69FD"/>
    <w:rsid w:val="009234A7"/>
    <w:rsid w:val="00927006"/>
    <w:rsid w:val="00964BB6"/>
    <w:rsid w:val="0097568E"/>
    <w:rsid w:val="009844D7"/>
    <w:rsid w:val="009A7535"/>
    <w:rsid w:val="009C6985"/>
    <w:rsid w:val="009F632A"/>
    <w:rsid w:val="00A34582"/>
    <w:rsid w:val="00A5307C"/>
    <w:rsid w:val="00A56DE2"/>
    <w:rsid w:val="00A603CB"/>
    <w:rsid w:val="00AD2D2F"/>
    <w:rsid w:val="00B143C5"/>
    <w:rsid w:val="00B621D8"/>
    <w:rsid w:val="00B675D0"/>
    <w:rsid w:val="00C00E77"/>
    <w:rsid w:val="00C20D16"/>
    <w:rsid w:val="00CD3A66"/>
    <w:rsid w:val="00CF5F76"/>
    <w:rsid w:val="00D33A9E"/>
    <w:rsid w:val="00D65E07"/>
    <w:rsid w:val="00D80344"/>
    <w:rsid w:val="00E1537A"/>
    <w:rsid w:val="00EB34B7"/>
    <w:rsid w:val="00F05B2E"/>
    <w:rsid w:val="00F4615A"/>
    <w:rsid w:val="00F81A30"/>
    <w:rsid w:val="00F831F3"/>
    <w:rsid w:val="00F947B4"/>
    <w:rsid w:val="00FC1AFD"/>
    <w:rsid w:val="00FE6022"/>
    <w:rsid w:val="0A3534CE"/>
    <w:rsid w:val="0BEB139D"/>
    <w:rsid w:val="132F3C08"/>
    <w:rsid w:val="1342682C"/>
    <w:rsid w:val="20567044"/>
    <w:rsid w:val="2A584953"/>
    <w:rsid w:val="36EA1AA7"/>
    <w:rsid w:val="43AF5C17"/>
    <w:rsid w:val="4F275B37"/>
    <w:rsid w:val="5C515082"/>
    <w:rsid w:val="5EC53C83"/>
    <w:rsid w:val="60913C55"/>
    <w:rsid w:val="7FDD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40" w:lineRule="exact"/>
      <w:ind w:firstLine="600" w:firstLineChars="200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方正小标宋简体" w:hAnsi="Times New Roman" w:eastAsia="方正小标宋简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方正小标宋简体" w:hAnsi="Times New Roman" w:eastAsia="方正小标宋简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方正小标宋简体" w:hAnsi="Times New Roman" w:eastAsia="方正小标宋简体" w:cs="Times New Roman"/>
      <w:sz w:val="32"/>
      <w:szCs w:val="32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方正小标宋简体" w:hAnsi="Times New Roman" w:eastAsia="方正小标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432</Words>
  <Characters>441</Characters>
  <Lines>3</Lines>
  <Paragraphs>1</Paragraphs>
  <TotalTime>18</TotalTime>
  <ScaleCrop>false</ScaleCrop>
  <LinksUpToDate>false</LinksUpToDate>
  <CharactersWithSpaces>490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2024-09-20T01:57:00Z</dcterms:created>
  <dc:creator>郭雪</dc:creator>
  <cp:lastModifiedBy>LENOVO</cp:lastModifiedBy>
  <cp:lastPrinted>2024-09-24T06:07:00Z</cp:lastPrinted>
  <dcterms:modified xsi:type="dcterms:W3CDTF">2024-09-25T01:09:18Z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11696AD665654F7594DFD7398816CF8D_13</vt:lpwstr>
  </property>
</Properties>
</file>