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DF" w:rsidRDefault="008A34DF">
      <w:pPr>
        <w:jc w:val="center"/>
        <w:rPr>
          <w:rFonts w:ascii="创艺简标宋" w:eastAsia="创艺简标宋" w:hAnsi="创艺简标宋" w:cs="创艺简标宋"/>
          <w:sz w:val="44"/>
          <w:szCs w:val="44"/>
        </w:rPr>
      </w:pPr>
    </w:p>
    <w:p w:rsidR="008A34DF" w:rsidRDefault="008A34DF">
      <w:pPr>
        <w:jc w:val="center"/>
        <w:rPr>
          <w:rFonts w:ascii="创艺简标宋" w:eastAsia="创艺简标宋" w:hAnsi="创艺简标宋" w:cs="创艺简标宋"/>
          <w:sz w:val="44"/>
          <w:szCs w:val="44"/>
        </w:rPr>
      </w:pPr>
    </w:p>
    <w:p w:rsidR="008A34DF" w:rsidRDefault="008A34DF">
      <w:pPr>
        <w:jc w:val="center"/>
        <w:rPr>
          <w:rFonts w:ascii="创艺简标宋" w:eastAsia="创艺简标宋" w:hAnsi="创艺简标宋" w:cs="创艺简标宋"/>
          <w:sz w:val="44"/>
          <w:szCs w:val="44"/>
        </w:rPr>
      </w:pPr>
    </w:p>
    <w:p w:rsidR="008A34DF" w:rsidRDefault="008A34DF">
      <w:pPr>
        <w:jc w:val="center"/>
        <w:rPr>
          <w:rFonts w:ascii="创艺简标宋" w:eastAsia="创艺简标宋" w:hAnsi="创艺简标宋" w:cs="创艺简标宋"/>
          <w:sz w:val="44"/>
          <w:szCs w:val="44"/>
        </w:rPr>
      </w:pPr>
    </w:p>
    <w:p w:rsidR="008A34DF" w:rsidRDefault="008A34DF">
      <w:pPr>
        <w:jc w:val="center"/>
        <w:rPr>
          <w:rFonts w:ascii="创艺简标宋" w:eastAsia="创艺简标宋" w:hAnsi="创艺简标宋" w:cs="创艺简标宋"/>
          <w:sz w:val="44"/>
          <w:szCs w:val="44"/>
        </w:rPr>
      </w:pPr>
    </w:p>
    <w:p w:rsidR="008A34DF" w:rsidRDefault="008A34DF">
      <w:pPr>
        <w:jc w:val="center"/>
        <w:rPr>
          <w:rFonts w:ascii="创艺简标宋" w:eastAsia="创艺简标宋" w:hAnsi="创艺简标宋" w:cs="创艺简标宋"/>
          <w:sz w:val="44"/>
          <w:szCs w:val="44"/>
        </w:rPr>
      </w:pPr>
    </w:p>
    <w:p w:rsidR="008A34DF" w:rsidRDefault="008A34DF">
      <w:pPr>
        <w:jc w:val="center"/>
        <w:rPr>
          <w:rFonts w:ascii="创艺简标宋" w:eastAsia="创艺简标宋" w:hAnsi="创艺简标宋" w:cs="创艺简标宋"/>
          <w:sz w:val="44"/>
          <w:szCs w:val="44"/>
        </w:rPr>
      </w:pPr>
    </w:p>
    <w:p w:rsidR="008A34DF" w:rsidRDefault="00C20EBA">
      <w:pPr>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t>广东省医疗器械不良事件风险信号监测</w:t>
      </w:r>
    </w:p>
    <w:p w:rsidR="008A34DF" w:rsidRDefault="00C20EBA">
      <w:pPr>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t>工作程序（征求意见稿）</w:t>
      </w:r>
    </w:p>
    <w:p w:rsidR="008A34DF" w:rsidRDefault="008A34DF">
      <w:pPr>
        <w:jc w:val="center"/>
        <w:rPr>
          <w:sz w:val="44"/>
          <w:szCs w:val="44"/>
        </w:rPr>
      </w:pPr>
    </w:p>
    <w:p w:rsidR="008A34DF" w:rsidRDefault="00C20EBA">
      <w:pPr>
        <w:rPr>
          <w:rFonts w:ascii="仿宋" w:eastAsia="仿宋" w:hAnsi="仿宋" w:cs="仿宋"/>
          <w:sz w:val="32"/>
          <w:szCs w:val="32"/>
        </w:rPr>
      </w:pPr>
      <w:r>
        <w:rPr>
          <w:rFonts w:ascii="仿宋" w:eastAsia="仿宋" w:hAnsi="仿宋" w:cs="仿宋" w:hint="eastAsia"/>
          <w:sz w:val="32"/>
          <w:szCs w:val="32"/>
        </w:rPr>
        <w:br w:type="page"/>
      </w:r>
    </w:p>
    <w:p w:rsidR="008A34DF" w:rsidRDefault="008A34DF">
      <w:pPr>
        <w:ind w:firstLineChars="200" w:firstLine="640"/>
        <w:rPr>
          <w:rFonts w:ascii="仿宋" w:eastAsia="仿宋" w:hAnsi="仿宋" w:cs="仿宋"/>
          <w:sz w:val="32"/>
          <w:szCs w:val="32"/>
        </w:rPr>
      </w:pPr>
    </w:p>
    <w:sdt>
      <w:sdtPr>
        <w:rPr>
          <w:rFonts w:ascii="仿宋" w:eastAsia="仿宋" w:hAnsi="仿宋" w:cs="仿宋" w:hint="eastAsia"/>
          <w:sz w:val="32"/>
          <w:szCs w:val="32"/>
        </w:rPr>
        <w:id w:val="147455121"/>
        <w:docPartObj>
          <w:docPartGallery w:val="Table of Contents"/>
          <w:docPartUnique/>
        </w:docPartObj>
      </w:sdtPr>
      <w:sdtEndPr>
        <w:rPr>
          <w:sz w:val="21"/>
        </w:rPr>
      </w:sdtEndPr>
      <w:sdtContent>
        <w:p w:rsidR="008A34DF" w:rsidRDefault="00C20EBA">
          <w:pPr>
            <w:jc w:val="center"/>
            <w:rPr>
              <w:rFonts w:ascii="仿宋" w:eastAsia="仿宋" w:hAnsi="仿宋" w:cs="仿宋"/>
              <w:sz w:val="32"/>
              <w:szCs w:val="32"/>
            </w:rPr>
          </w:pPr>
          <w:r>
            <w:rPr>
              <w:rFonts w:ascii="仿宋" w:eastAsia="仿宋" w:hAnsi="仿宋" w:cs="仿宋" w:hint="eastAsia"/>
              <w:sz w:val="44"/>
              <w:szCs w:val="44"/>
            </w:rPr>
            <w:t>目录</w:t>
          </w:r>
        </w:p>
        <w:p w:rsidR="008A34DF" w:rsidRDefault="00E812A0">
          <w:pPr>
            <w:pStyle w:val="WPSOffice1"/>
            <w:tabs>
              <w:tab w:val="right" w:leader="dot" w:pos="8300"/>
            </w:tabs>
            <w:rPr>
              <w:rFonts w:ascii="仿宋" w:eastAsia="仿宋" w:hAnsi="仿宋" w:cs="仿宋"/>
              <w:sz w:val="32"/>
              <w:szCs w:val="32"/>
            </w:rPr>
          </w:pPr>
          <w:r w:rsidRPr="00E812A0">
            <w:rPr>
              <w:rFonts w:ascii="仿宋" w:eastAsia="仿宋" w:hAnsi="仿宋" w:cs="仿宋" w:hint="eastAsia"/>
              <w:sz w:val="32"/>
              <w:szCs w:val="32"/>
            </w:rPr>
            <w:fldChar w:fldCharType="begin"/>
          </w:r>
          <w:r w:rsidR="00C20EBA">
            <w:rPr>
              <w:rFonts w:ascii="仿宋" w:eastAsia="仿宋" w:hAnsi="仿宋" w:cs="仿宋" w:hint="eastAsia"/>
              <w:sz w:val="32"/>
              <w:szCs w:val="32"/>
            </w:rPr>
            <w:instrText xml:space="preserve">TOC \o "1-1" \h \u </w:instrText>
          </w:r>
          <w:r w:rsidRPr="00E812A0">
            <w:rPr>
              <w:rFonts w:ascii="仿宋" w:eastAsia="仿宋" w:hAnsi="仿宋" w:cs="仿宋" w:hint="eastAsia"/>
              <w:sz w:val="32"/>
              <w:szCs w:val="32"/>
            </w:rPr>
            <w:fldChar w:fldCharType="separate"/>
          </w:r>
          <w:hyperlink w:anchor="_Toc10638" w:history="1">
            <w:r w:rsidR="00C20EBA">
              <w:rPr>
                <w:rFonts w:ascii="仿宋" w:eastAsia="仿宋" w:hAnsi="仿宋" w:cs="仿宋" w:hint="eastAsia"/>
                <w:sz w:val="32"/>
                <w:szCs w:val="32"/>
              </w:rPr>
              <w:t>一、目的</w:t>
            </w:r>
            <w:r w:rsidR="00C20EBA">
              <w:rPr>
                <w:rFonts w:ascii="仿宋" w:eastAsia="仿宋" w:hAnsi="仿宋" w:cs="仿宋" w:hint="eastAsia"/>
                <w:sz w:val="32"/>
                <w:szCs w:val="32"/>
              </w:rPr>
              <w:tab/>
            </w:r>
            <w:r>
              <w:rPr>
                <w:rFonts w:ascii="仿宋" w:eastAsia="仿宋" w:hAnsi="仿宋" w:cs="仿宋" w:hint="eastAsia"/>
                <w:sz w:val="32"/>
                <w:szCs w:val="32"/>
              </w:rPr>
              <w:fldChar w:fldCharType="begin"/>
            </w:r>
            <w:r w:rsidR="00C20EBA">
              <w:rPr>
                <w:rFonts w:ascii="仿宋" w:eastAsia="仿宋" w:hAnsi="仿宋" w:cs="仿宋" w:hint="eastAsia"/>
                <w:sz w:val="32"/>
                <w:szCs w:val="32"/>
              </w:rPr>
              <w:instrText xml:space="preserve"> PAGEREF _Toc10638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C20EBA">
              <w:rPr>
                <w:rFonts w:ascii="仿宋" w:eastAsia="仿宋" w:hAnsi="仿宋" w:cs="仿宋" w:hint="eastAsia"/>
                <w:sz w:val="32"/>
                <w:szCs w:val="32"/>
              </w:rPr>
              <w:t>3</w:t>
            </w:r>
            <w:r>
              <w:rPr>
                <w:rFonts w:ascii="仿宋" w:eastAsia="仿宋" w:hAnsi="仿宋" w:cs="仿宋" w:hint="eastAsia"/>
                <w:sz w:val="32"/>
                <w:szCs w:val="32"/>
              </w:rPr>
              <w:fldChar w:fldCharType="end"/>
            </w:r>
          </w:hyperlink>
        </w:p>
        <w:p w:rsidR="008A34DF" w:rsidRDefault="00E812A0">
          <w:pPr>
            <w:pStyle w:val="WPSOffice1"/>
            <w:tabs>
              <w:tab w:val="right" w:leader="dot" w:pos="8300"/>
            </w:tabs>
            <w:rPr>
              <w:rFonts w:ascii="仿宋" w:eastAsia="仿宋" w:hAnsi="仿宋" w:cs="仿宋"/>
              <w:sz w:val="32"/>
              <w:szCs w:val="32"/>
            </w:rPr>
          </w:pPr>
          <w:hyperlink w:anchor="_Toc30721" w:history="1">
            <w:r w:rsidR="00C20EBA">
              <w:rPr>
                <w:rFonts w:ascii="仿宋" w:eastAsia="仿宋" w:hAnsi="仿宋" w:cs="仿宋" w:hint="eastAsia"/>
                <w:sz w:val="32"/>
                <w:szCs w:val="32"/>
              </w:rPr>
              <w:t>二、适用范围</w:t>
            </w:r>
            <w:r w:rsidR="00C20EBA">
              <w:rPr>
                <w:rFonts w:ascii="仿宋" w:eastAsia="仿宋" w:hAnsi="仿宋" w:cs="仿宋" w:hint="eastAsia"/>
                <w:sz w:val="32"/>
                <w:szCs w:val="32"/>
              </w:rPr>
              <w:tab/>
            </w:r>
            <w:r>
              <w:rPr>
                <w:rFonts w:ascii="仿宋" w:eastAsia="仿宋" w:hAnsi="仿宋" w:cs="仿宋" w:hint="eastAsia"/>
                <w:sz w:val="32"/>
                <w:szCs w:val="32"/>
              </w:rPr>
              <w:fldChar w:fldCharType="begin"/>
            </w:r>
            <w:r w:rsidR="00C20EBA">
              <w:rPr>
                <w:rFonts w:ascii="仿宋" w:eastAsia="仿宋" w:hAnsi="仿宋" w:cs="仿宋" w:hint="eastAsia"/>
                <w:sz w:val="32"/>
                <w:szCs w:val="32"/>
              </w:rPr>
              <w:instrText xml:space="preserve"> PAGEREF _Toc30721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C20EBA">
              <w:rPr>
                <w:rFonts w:ascii="仿宋" w:eastAsia="仿宋" w:hAnsi="仿宋" w:cs="仿宋" w:hint="eastAsia"/>
                <w:sz w:val="32"/>
                <w:szCs w:val="32"/>
              </w:rPr>
              <w:t>3</w:t>
            </w:r>
            <w:r>
              <w:rPr>
                <w:rFonts w:ascii="仿宋" w:eastAsia="仿宋" w:hAnsi="仿宋" w:cs="仿宋" w:hint="eastAsia"/>
                <w:sz w:val="32"/>
                <w:szCs w:val="32"/>
              </w:rPr>
              <w:fldChar w:fldCharType="end"/>
            </w:r>
          </w:hyperlink>
        </w:p>
        <w:p w:rsidR="008A34DF" w:rsidRDefault="00E812A0">
          <w:pPr>
            <w:pStyle w:val="WPSOffice1"/>
            <w:tabs>
              <w:tab w:val="right" w:leader="dot" w:pos="8300"/>
            </w:tabs>
            <w:rPr>
              <w:rFonts w:ascii="仿宋" w:eastAsia="仿宋" w:hAnsi="仿宋" w:cs="仿宋"/>
              <w:sz w:val="32"/>
              <w:szCs w:val="32"/>
            </w:rPr>
          </w:pPr>
          <w:hyperlink w:anchor="_Toc18901" w:history="1">
            <w:r w:rsidR="00C20EBA">
              <w:rPr>
                <w:rFonts w:ascii="仿宋" w:eastAsia="仿宋" w:hAnsi="仿宋" w:cs="仿宋" w:hint="eastAsia"/>
                <w:sz w:val="32"/>
                <w:szCs w:val="32"/>
              </w:rPr>
              <w:t>三、术语和定义</w:t>
            </w:r>
            <w:r w:rsidR="00C20EBA">
              <w:rPr>
                <w:rFonts w:ascii="仿宋" w:eastAsia="仿宋" w:hAnsi="仿宋" w:cs="仿宋" w:hint="eastAsia"/>
                <w:sz w:val="32"/>
                <w:szCs w:val="32"/>
              </w:rPr>
              <w:tab/>
            </w:r>
            <w:r>
              <w:rPr>
                <w:rFonts w:ascii="仿宋" w:eastAsia="仿宋" w:hAnsi="仿宋" w:cs="仿宋" w:hint="eastAsia"/>
                <w:sz w:val="32"/>
                <w:szCs w:val="32"/>
              </w:rPr>
              <w:fldChar w:fldCharType="begin"/>
            </w:r>
            <w:r w:rsidR="00C20EBA">
              <w:rPr>
                <w:rFonts w:ascii="仿宋" w:eastAsia="仿宋" w:hAnsi="仿宋" w:cs="仿宋" w:hint="eastAsia"/>
                <w:sz w:val="32"/>
                <w:szCs w:val="32"/>
              </w:rPr>
              <w:instrText xml:space="preserve"> PAGEREF _Toc18901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C20EBA">
              <w:rPr>
                <w:rFonts w:ascii="仿宋" w:eastAsia="仿宋" w:hAnsi="仿宋" w:cs="仿宋" w:hint="eastAsia"/>
                <w:sz w:val="32"/>
                <w:szCs w:val="32"/>
              </w:rPr>
              <w:t>3</w:t>
            </w:r>
            <w:r>
              <w:rPr>
                <w:rFonts w:ascii="仿宋" w:eastAsia="仿宋" w:hAnsi="仿宋" w:cs="仿宋" w:hint="eastAsia"/>
                <w:sz w:val="32"/>
                <w:szCs w:val="32"/>
              </w:rPr>
              <w:fldChar w:fldCharType="end"/>
            </w:r>
          </w:hyperlink>
        </w:p>
        <w:p w:rsidR="008A34DF" w:rsidRDefault="00E812A0">
          <w:pPr>
            <w:pStyle w:val="WPSOffice1"/>
            <w:tabs>
              <w:tab w:val="right" w:leader="dot" w:pos="8300"/>
            </w:tabs>
            <w:rPr>
              <w:rFonts w:ascii="仿宋" w:eastAsia="仿宋" w:hAnsi="仿宋" w:cs="仿宋"/>
              <w:sz w:val="32"/>
              <w:szCs w:val="32"/>
            </w:rPr>
          </w:pPr>
          <w:hyperlink w:anchor="_Toc962" w:history="1">
            <w:r w:rsidR="00C20EBA">
              <w:rPr>
                <w:rFonts w:ascii="仿宋" w:eastAsia="仿宋" w:hAnsi="仿宋" w:cs="仿宋" w:hint="eastAsia"/>
                <w:sz w:val="32"/>
                <w:szCs w:val="32"/>
              </w:rPr>
              <w:t>四、工作职责</w:t>
            </w:r>
            <w:r w:rsidR="00C20EBA">
              <w:rPr>
                <w:rFonts w:ascii="仿宋" w:eastAsia="仿宋" w:hAnsi="仿宋" w:cs="仿宋" w:hint="eastAsia"/>
                <w:sz w:val="32"/>
                <w:szCs w:val="32"/>
              </w:rPr>
              <w:tab/>
            </w:r>
            <w:r>
              <w:rPr>
                <w:rFonts w:ascii="仿宋" w:eastAsia="仿宋" w:hAnsi="仿宋" w:cs="仿宋" w:hint="eastAsia"/>
                <w:sz w:val="32"/>
                <w:szCs w:val="32"/>
              </w:rPr>
              <w:fldChar w:fldCharType="begin"/>
            </w:r>
            <w:r w:rsidR="00C20EBA">
              <w:rPr>
                <w:rFonts w:ascii="仿宋" w:eastAsia="仿宋" w:hAnsi="仿宋" w:cs="仿宋" w:hint="eastAsia"/>
                <w:sz w:val="32"/>
                <w:szCs w:val="32"/>
              </w:rPr>
              <w:instrText xml:space="preserve"> PAGEREF _Toc962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C20EBA">
              <w:rPr>
                <w:rFonts w:ascii="仿宋" w:eastAsia="仿宋" w:hAnsi="仿宋" w:cs="仿宋" w:hint="eastAsia"/>
                <w:sz w:val="32"/>
                <w:szCs w:val="32"/>
              </w:rPr>
              <w:t>4</w:t>
            </w:r>
            <w:r>
              <w:rPr>
                <w:rFonts w:ascii="仿宋" w:eastAsia="仿宋" w:hAnsi="仿宋" w:cs="仿宋" w:hint="eastAsia"/>
                <w:sz w:val="32"/>
                <w:szCs w:val="32"/>
              </w:rPr>
              <w:fldChar w:fldCharType="end"/>
            </w:r>
          </w:hyperlink>
        </w:p>
        <w:p w:rsidR="008A34DF" w:rsidRDefault="00E812A0">
          <w:pPr>
            <w:pStyle w:val="WPSOffice1"/>
            <w:tabs>
              <w:tab w:val="right" w:leader="dot" w:pos="8300"/>
            </w:tabs>
            <w:rPr>
              <w:rFonts w:ascii="仿宋" w:eastAsia="仿宋" w:hAnsi="仿宋" w:cs="仿宋"/>
              <w:sz w:val="32"/>
              <w:szCs w:val="32"/>
            </w:rPr>
          </w:pPr>
          <w:hyperlink w:anchor="_Toc21230" w:history="1">
            <w:r w:rsidR="00C20EBA">
              <w:rPr>
                <w:rFonts w:ascii="仿宋" w:eastAsia="仿宋" w:hAnsi="仿宋" w:cs="仿宋" w:hint="eastAsia"/>
                <w:sz w:val="32"/>
                <w:szCs w:val="32"/>
              </w:rPr>
              <w:t>五、风险信号纳入标准</w:t>
            </w:r>
            <w:r w:rsidR="00C20EBA">
              <w:rPr>
                <w:rFonts w:ascii="仿宋" w:eastAsia="仿宋" w:hAnsi="仿宋" w:cs="仿宋" w:hint="eastAsia"/>
                <w:sz w:val="32"/>
                <w:szCs w:val="32"/>
              </w:rPr>
              <w:tab/>
            </w:r>
            <w:r>
              <w:rPr>
                <w:rFonts w:ascii="仿宋" w:eastAsia="仿宋" w:hAnsi="仿宋" w:cs="仿宋" w:hint="eastAsia"/>
                <w:sz w:val="32"/>
                <w:szCs w:val="32"/>
              </w:rPr>
              <w:fldChar w:fldCharType="begin"/>
            </w:r>
            <w:r w:rsidR="00C20EBA">
              <w:rPr>
                <w:rFonts w:ascii="仿宋" w:eastAsia="仿宋" w:hAnsi="仿宋" w:cs="仿宋" w:hint="eastAsia"/>
                <w:sz w:val="32"/>
                <w:szCs w:val="32"/>
              </w:rPr>
              <w:instrText xml:space="preserve"> PAGEREF _Toc21230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C20EBA">
              <w:rPr>
                <w:rFonts w:ascii="仿宋" w:eastAsia="仿宋" w:hAnsi="仿宋" w:cs="仿宋" w:hint="eastAsia"/>
                <w:sz w:val="32"/>
                <w:szCs w:val="32"/>
              </w:rPr>
              <w:t>5</w:t>
            </w:r>
            <w:r>
              <w:rPr>
                <w:rFonts w:ascii="仿宋" w:eastAsia="仿宋" w:hAnsi="仿宋" w:cs="仿宋" w:hint="eastAsia"/>
                <w:sz w:val="32"/>
                <w:szCs w:val="32"/>
              </w:rPr>
              <w:fldChar w:fldCharType="end"/>
            </w:r>
          </w:hyperlink>
        </w:p>
        <w:p w:rsidR="008A34DF" w:rsidRDefault="00E812A0">
          <w:pPr>
            <w:pStyle w:val="WPSOffice1"/>
            <w:tabs>
              <w:tab w:val="right" w:leader="dot" w:pos="8300"/>
            </w:tabs>
            <w:rPr>
              <w:rFonts w:ascii="仿宋" w:eastAsia="仿宋" w:hAnsi="仿宋" w:cs="仿宋"/>
              <w:sz w:val="32"/>
              <w:szCs w:val="32"/>
            </w:rPr>
          </w:pPr>
          <w:hyperlink w:anchor="_Toc3324" w:history="1">
            <w:r w:rsidR="00C20EBA">
              <w:rPr>
                <w:rFonts w:ascii="仿宋" w:eastAsia="仿宋" w:hAnsi="仿宋" w:cs="仿宋" w:hint="eastAsia"/>
                <w:sz w:val="32"/>
                <w:szCs w:val="32"/>
              </w:rPr>
              <w:t>六、工作程序</w:t>
            </w:r>
            <w:r w:rsidR="00C20EBA">
              <w:rPr>
                <w:rFonts w:ascii="仿宋" w:eastAsia="仿宋" w:hAnsi="仿宋" w:cs="仿宋" w:hint="eastAsia"/>
                <w:sz w:val="32"/>
                <w:szCs w:val="32"/>
              </w:rPr>
              <w:tab/>
            </w:r>
            <w:r>
              <w:rPr>
                <w:rFonts w:ascii="仿宋" w:eastAsia="仿宋" w:hAnsi="仿宋" w:cs="仿宋" w:hint="eastAsia"/>
                <w:sz w:val="32"/>
                <w:szCs w:val="32"/>
              </w:rPr>
              <w:fldChar w:fldCharType="begin"/>
            </w:r>
            <w:r w:rsidR="00C20EBA">
              <w:rPr>
                <w:rFonts w:ascii="仿宋" w:eastAsia="仿宋" w:hAnsi="仿宋" w:cs="仿宋" w:hint="eastAsia"/>
                <w:sz w:val="32"/>
                <w:szCs w:val="32"/>
              </w:rPr>
              <w:instrText xml:space="preserve"> PAGEREF _Toc3324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C20EBA">
              <w:rPr>
                <w:rFonts w:ascii="仿宋" w:eastAsia="仿宋" w:hAnsi="仿宋" w:cs="仿宋" w:hint="eastAsia"/>
                <w:sz w:val="32"/>
                <w:szCs w:val="32"/>
              </w:rPr>
              <w:t>6</w:t>
            </w:r>
            <w:r>
              <w:rPr>
                <w:rFonts w:ascii="仿宋" w:eastAsia="仿宋" w:hAnsi="仿宋" w:cs="仿宋" w:hint="eastAsia"/>
                <w:sz w:val="32"/>
                <w:szCs w:val="32"/>
              </w:rPr>
              <w:fldChar w:fldCharType="end"/>
            </w:r>
          </w:hyperlink>
        </w:p>
        <w:p w:rsidR="008A34DF" w:rsidRDefault="00E812A0">
          <w:pPr>
            <w:pStyle w:val="WPSOffice1"/>
            <w:tabs>
              <w:tab w:val="right" w:leader="dot" w:pos="8300"/>
            </w:tabs>
            <w:rPr>
              <w:rFonts w:ascii="仿宋" w:eastAsia="仿宋" w:hAnsi="仿宋" w:cs="仿宋"/>
              <w:sz w:val="32"/>
              <w:szCs w:val="32"/>
            </w:rPr>
          </w:pPr>
          <w:hyperlink w:anchor="_Toc19663" w:history="1">
            <w:r w:rsidR="00C20EBA">
              <w:rPr>
                <w:rFonts w:ascii="仿宋" w:eastAsia="仿宋" w:hAnsi="仿宋" w:cs="仿宋" w:hint="eastAsia"/>
                <w:sz w:val="32"/>
                <w:szCs w:val="32"/>
              </w:rPr>
              <w:t>七、相关说明</w:t>
            </w:r>
            <w:r w:rsidR="00C20EBA">
              <w:rPr>
                <w:rFonts w:ascii="仿宋" w:eastAsia="仿宋" w:hAnsi="仿宋" w:cs="仿宋" w:hint="eastAsia"/>
                <w:sz w:val="32"/>
                <w:szCs w:val="32"/>
              </w:rPr>
              <w:tab/>
            </w:r>
            <w:r>
              <w:rPr>
                <w:rFonts w:ascii="仿宋" w:eastAsia="仿宋" w:hAnsi="仿宋" w:cs="仿宋" w:hint="eastAsia"/>
                <w:sz w:val="32"/>
                <w:szCs w:val="32"/>
              </w:rPr>
              <w:fldChar w:fldCharType="begin"/>
            </w:r>
            <w:r w:rsidR="00C20EBA">
              <w:rPr>
                <w:rFonts w:ascii="仿宋" w:eastAsia="仿宋" w:hAnsi="仿宋" w:cs="仿宋" w:hint="eastAsia"/>
                <w:sz w:val="32"/>
                <w:szCs w:val="32"/>
              </w:rPr>
              <w:instrText xml:space="preserve"> PAGEREF _Toc19663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C20EBA">
              <w:rPr>
                <w:rFonts w:ascii="仿宋" w:eastAsia="仿宋" w:hAnsi="仿宋" w:cs="仿宋" w:hint="eastAsia"/>
                <w:sz w:val="32"/>
                <w:szCs w:val="32"/>
              </w:rPr>
              <w:t>8</w:t>
            </w:r>
            <w:r>
              <w:rPr>
                <w:rFonts w:ascii="仿宋" w:eastAsia="仿宋" w:hAnsi="仿宋" w:cs="仿宋" w:hint="eastAsia"/>
                <w:sz w:val="32"/>
                <w:szCs w:val="32"/>
              </w:rPr>
              <w:fldChar w:fldCharType="end"/>
            </w:r>
          </w:hyperlink>
        </w:p>
        <w:p w:rsidR="008A34DF" w:rsidRDefault="00E812A0">
          <w:pPr>
            <w:pStyle w:val="WPSOffice1"/>
            <w:tabs>
              <w:tab w:val="right" w:leader="dot" w:pos="8300"/>
            </w:tabs>
            <w:rPr>
              <w:rFonts w:ascii="仿宋" w:eastAsia="仿宋" w:hAnsi="仿宋" w:cs="仿宋"/>
              <w:sz w:val="32"/>
              <w:szCs w:val="32"/>
            </w:rPr>
          </w:pPr>
          <w:hyperlink w:anchor="_Toc21842" w:history="1">
            <w:r w:rsidR="00C20EBA">
              <w:rPr>
                <w:rFonts w:ascii="仿宋" w:eastAsia="仿宋" w:hAnsi="仿宋" w:cs="仿宋" w:hint="eastAsia"/>
                <w:sz w:val="32"/>
                <w:szCs w:val="32"/>
              </w:rPr>
              <w:t>附件1</w:t>
            </w:r>
            <w:r w:rsidR="00C20EBA">
              <w:rPr>
                <w:rFonts w:ascii="仿宋" w:eastAsia="仿宋" w:hAnsi="仿宋" w:cs="仿宋" w:hint="eastAsia"/>
                <w:sz w:val="32"/>
                <w:szCs w:val="32"/>
              </w:rPr>
              <w:tab/>
            </w:r>
            <w:r>
              <w:rPr>
                <w:rFonts w:ascii="仿宋" w:eastAsia="仿宋" w:hAnsi="仿宋" w:cs="仿宋" w:hint="eastAsia"/>
                <w:sz w:val="32"/>
                <w:szCs w:val="32"/>
              </w:rPr>
              <w:fldChar w:fldCharType="begin"/>
            </w:r>
            <w:r w:rsidR="00C20EBA">
              <w:rPr>
                <w:rFonts w:ascii="仿宋" w:eastAsia="仿宋" w:hAnsi="仿宋" w:cs="仿宋" w:hint="eastAsia"/>
                <w:sz w:val="32"/>
                <w:szCs w:val="32"/>
              </w:rPr>
              <w:instrText xml:space="preserve"> PAGEREF _Toc21842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C20EBA">
              <w:rPr>
                <w:rFonts w:ascii="仿宋" w:eastAsia="仿宋" w:hAnsi="仿宋" w:cs="仿宋" w:hint="eastAsia"/>
                <w:sz w:val="32"/>
                <w:szCs w:val="32"/>
              </w:rPr>
              <w:t>9</w:t>
            </w:r>
            <w:r>
              <w:rPr>
                <w:rFonts w:ascii="仿宋" w:eastAsia="仿宋" w:hAnsi="仿宋" w:cs="仿宋" w:hint="eastAsia"/>
                <w:sz w:val="32"/>
                <w:szCs w:val="32"/>
              </w:rPr>
              <w:fldChar w:fldCharType="end"/>
            </w:r>
          </w:hyperlink>
        </w:p>
        <w:p w:rsidR="008A34DF" w:rsidRDefault="00E812A0">
          <w:pPr>
            <w:pStyle w:val="WPSOffice1"/>
            <w:tabs>
              <w:tab w:val="right" w:leader="dot" w:pos="8300"/>
            </w:tabs>
            <w:rPr>
              <w:rFonts w:ascii="仿宋" w:eastAsia="仿宋" w:hAnsi="仿宋" w:cs="仿宋"/>
              <w:sz w:val="32"/>
              <w:szCs w:val="32"/>
            </w:rPr>
          </w:pPr>
          <w:hyperlink w:anchor="_Toc28163" w:history="1">
            <w:r w:rsidR="00C20EBA">
              <w:rPr>
                <w:rFonts w:ascii="仿宋" w:eastAsia="仿宋" w:hAnsi="仿宋" w:cs="仿宋" w:hint="eastAsia"/>
                <w:sz w:val="32"/>
                <w:szCs w:val="32"/>
              </w:rPr>
              <w:t>附件2</w:t>
            </w:r>
            <w:r w:rsidR="00C20EBA">
              <w:rPr>
                <w:rFonts w:ascii="仿宋" w:eastAsia="仿宋" w:hAnsi="仿宋" w:cs="仿宋" w:hint="eastAsia"/>
                <w:sz w:val="32"/>
                <w:szCs w:val="32"/>
              </w:rPr>
              <w:tab/>
            </w:r>
            <w:r>
              <w:rPr>
                <w:rFonts w:ascii="仿宋" w:eastAsia="仿宋" w:hAnsi="仿宋" w:cs="仿宋" w:hint="eastAsia"/>
                <w:sz w:val="32"/>
                <w:szCs w:val="32"/>
              </w:rPr>
              <w:fldChar w:fldCharType="begin"/>
            </w:r>
            <w:r w:rsidR="00C20EBA">
              <w:rPr>
                <w:rFonts w:ascii="仿宋" w:eastAsia="仿宋" w:hAnsi="仿宋" w:cs="仿宋" w:hint="eastAsia"/>
                <w:sz w:val="32"/>
                <w:szCs w:val="32"/>
              </w:rPr>
              <w:instrText xml:space="preserve"> PAGEREF _Toc28163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C20EBA">
              <w:rPr>
                <w:rFonts w:ascii="仿宋" w:eastAsia="仿宋" w:hAnsi="仿宋" w:cs="仿宋" w:hint="eastAsia"/>
                <w:sz w:val="32"/>
                <w:szCs w:val="32"/>
              </w:rPr>
              <w:t>11</w:t>
            </w:r>
            <w:r>
              <w:rPr>
                <w:rFonts w:ascii="仿宋" w:eastAsia="仿宋" w:hAnsi="仿宋" w:cs="仿宋" w:hint="eastAsia"/>
                <w:sz w:val="32"/>
                <w:szCs w:val="32"/>
              </w:rPr>
              <w:fldChar w:fldCharType="end"/>
            </w:r>
          </w:hyperlink>
        </w:p>
        <w:p w:rsidR="008A34DF" w:rsidRDefault="00E812A0">
          <w:pPr>
            <w:pStyle w:val="WPSOffice1"/>
            <w:tabs>
              <w:tab w:val="right" w:leader="dot" w:pos="8300"/>
            </w:tabs>
            <w:rPr>
              <w:rFonts w:ascii="仿宋" w:eastAsia="仿宋" w:hAnsi="仿宋" w:cs="仿宋"/>
              <w:sz w:val="32"/>
              <w:szCs w:val="32"/>
            </w:rPr>
          </w:pPr>
          <w:hyperlink w:anchor="_Toc11954" w:history="1">
            <w:r w:rsidR="00C20EBA">
              <w:rPr>
                <w:rFonts w:ascii="仿宋" w:eastAsia="仿宋" w:hAnsi="仿宋" w:cs="仿宋" w:hint="eastAsia"/>
                <w:sz w:val="32"/>
                <w:szCs w:val="32"/>
              </w:rPr>
              <w:t>附件3</w:t>
            </w:r>
            <w:r w:rsidR="00C20EBA">
              <w:rPr>
                <w:rFonts w:ascii="仿宋" w:eastAsia="仿宋" w:hAnsi="仿宋" w:cs="仿宋" w:hint="eastAsia"/>
                <w:sz w:val="32"/>
                <w:szCs w:val="32"/>
              </w:rPr>
              <w:tab/>
            </w:r>
            <w:r>
              <w:rPr>
                <w:rFonts w:ascii="仿宋" w:eastAsia="仿宋" w:hAnsi="仿宋" w:cs="仿宋" w:hint="eastAsia"/>
                <w:sz w:val="32"/>
                <w:szCs w:val="32"/>
              </w:rPr>
              <w:fldChar w:fldCharType="begin"/>
            </w:r>
            <w:r w:rsidR="00C20EBA">
              <w:rPr>
                <w:rFonts w:ascii="仿宋" w:eastAsia="仿宋" w:hAnsi="仿宋" w:cs="仿宋" w:hint="eastAsia"/>
                <w:sz w:val="32"/>
                <w:szCs w:val="32"/>
              </w:rPr>
              <w:instrText xml:space="preserve"> PAGEREF _Toc11954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C20EBA">
              <w:rPr>
                <w:rFonts w:ascii="仿宋" w:eastAsia="仿宋" w:hAnsi="仿宋" w:cs="仿宋" w:hint="eastAsia"/>
                <w:sz w:val="32"/>
                <w:szCs w:val="32"/>
              </w:rPr>
              <w:t>12</w:t>
            </w:r>
            <w:r>
              <w:rPr>
                <w:rFonts w:ascii="仿宋" w:eastAsia="仿宋" w:hAnsi="仿宋" w:cs="仿宋" w:hint="eastAsia"/>
                <w:sz w:val="32"/>
                <w:szCs w:val="32"/>
              </w:rPr>
              <w:fldChar w:fldCharType="end"/>
            </w:r>
          </w:hyperlink>
        </w:p>
        <w:p w:rsidR="008A34DF" w:rsidRDefault="00E812A0">
          <w:pPr>
            <w:rPr>
              <w:rFonts w:ascii="仿宋" w:eastAsia="仿宋" w:hAnsi="仿宋" w:cs="仿宋"/>
              <w:sz w:val="32"/>
              <w:szCs w:val="32"/>
            </w:rPr>
          </w:pPr>
          <w:r>
            <w:rPr>
              <w:rFonts w:ascii="仿宋" w:eastAsia="仿宋" w:hAnsi="仿宋" w:cs="仿宋" w:hint="eastAsia"/>
              <w:sz w:val="32"/>
              <w:szCs w:val="32"/>
            </w:rPr>
            <w:fldChar w:fldCharType="end"/>
          </w:r>
        </w:p>
      </w:sdtContent>
    </w:sdt>
    <w:p w:rsidR="008A34DF" w:rsidRDefault="008A34DF">
      <w:pPr>
        <w:ind w:firstLineChars="200" w:firstLine="640"/>
        <w:outlineLvl w:val="0"/>
        <w:rPr>
          <w:rFonts w:ascii="仿宋" w:eastAsia="仿宋" w:hAnsi="仿宋" w:cs="仿宋"/>
          <w:sz w:val="32"/>
          <w:szCs w:val="32"/>
        </w:rPr>
      </w:pPr>
      <w:bookmarkStart w:id="0" w:name="_Toc10638"/>
    </w:p>
    <w:p w:rsidR="008A34DF" w:rsidRDefault="008A34DF">
      <w:pPr>
        <w:ind w:firstLineChars="200" w:firstLine="640"/>
        <w:outlineLvl w:val="0"/>
        <w:rPr>
          <w:rFonts w:ascii="仿宋" w:eastAsia="仿宋" w:hAnsi="仿宋" w:cs="仿宋"/>
          <w:sz w:val="32"/>
          <w:szCs w:val="32"/>
        </w:rPr>
      </w:pPr>
    </w:p>
    <w:p w:rsidR="008A34DF" w:rsidRDefault="008A34DF">
      <w:pPr>
        <w:ind w:firstLineChars="200" w:firstLine="640"/>
        <w:outlineLvl w:val="0"/>
        <w:rPr>
          <w:rFonts w:ascii="仿宋" w:eastAsia="仿宋" w:hAnsi="仿宋" w:cs="仿宋"/>
          <w:sz w:val="32"/>
          <w:szCs w:val="32"/>
        </w:rPr>
      </w:pPr>
    </w:p>
    <w:p w:rsidR="008A34DF" w:rsidRDefault="008A34DF">
      <w:pPr>
        <w:ind w:firstLineChars="200" w:firstLine="640"/>
        <w:outlineLvl w:val="0"/>
        <w:rPr>
          <w:rFonts w:ascii="仿宋" w:eastAsia="仿宋" w:hAnsi="仿宋" w:cs="仿宋"/>
          <w:sz w:val="32"/>
          <w:szCs w:val="32"/>
        </w:rPr>
      </w:pPr>
    </w:p>
    <w:p w:rsidR="008A34DF" w:rsidRDefault="008A34DF">
      <w:pPr>
        <w:ind w:firstLineChars="200" w:firstLine="640"/>
        <w:outlineLvl w:val="0"/>
        <w:rPr>
          <w:rFonts w:ascii="仿宋" w:eastAsia="仿宋" w:hAnsi="仿宋" w:cs="仿宋"/>
          <w:sz w:val="32"/>
          <w:szCs w:val="32"/>
        </w:rPr>
      </w:pPr>
    </w:p>
    <w:p w:rsidR="008A34DF" w:rsidRDefault="008A34DF">
      <w:pPr>
        <w:ind w:firstLineChars="200" w:firstLine="640"/>
        <w:outlineLvl w:val="0"/>
        <w:rPr>
          <w:rFonts w:ascii="仿宋" w:eastAsia="仿宋" w:hAnsi="仿宋" w:cs="仿宋"/>
          <w:sz w:val="32"/>
          <w:szCs w:val="32"/>
        </w:rPr>
      </w:pPr>
    </w:p>
    <w:p w:rsidR="008A34DF" w:rsidRDefault="008A34DF">
      <w:pPr>
        <w:ind w:firstLineChars="200" w:firstLine="640"/>
        <w:outlineLvl w:val="0"/>
        <w:rPr>
          <w:rFonts w:ascii="仿宋" w:eastAsia="仿宋" w:hAnsi="仿宋" w:cs="仿宋"/>
          <w:sz w:val="32"/>
          <w:szCs w:val="32"/>
        </w:rPr>
      </w:pPr>
    </w:p>
    <w:p w:rsidR="008A34DF" w:rsidRDefault="00C20EBA">
      <w:pPr>
        <w:rPr>
          <w:rFonts w:ascii="仿宋" w:eastAsia="仿宋" w:hAnsi="仿宋" w:cs="仿宋"/>
          <w:sz w:val="32"/>
          <w:szCs w:val="32"/>
        </w:rPr>
      </w:pPr>
      <w:r>
        <w:rPr>
          <w:rFonts w:ascii="仿宋" w:eastAsia="仿宋" w:hAnsi="仿宋" w:cs="仿宋" w:hint="eastAsia"/>
          <w:sz w:val="32"/>
          <w:szCs w:val="32"/>
        </w:rPr>
        <w:br w:type="page"/>
      </w:r>
    </w:p>
    <w:p w:rsidR="008A34DF" w:rsidRDefault="00C20EBA">
      <w:pPr>
        <w:ind w:firstLineChars="200" w:firstLine="640"/>
        <w:outlineLvl w:val="0"/>
        <w:rPr>
          <w:rFonts w:ascii="仿宋" w:eastAsia="仿宋" w:hAnsi="仿宋" w:cs="仿宋"/>
          <w:sz w:val="32"/>
          <w:szCs w:val="32"/>
        </w:rPr>
      </w:pPr>
      <w:r>
        <w:rPr>
          <w:rFonts w:ascii="仿宋" w:eastAsia="仿宋" w:hAnsi="仿宋" w:cs="仿宋" w:hint="eastAsia"/>
          <w:sz w:val="32"/>
          <w:szCs w:val="32"/>
        </w:rPr>
        <w:lastRenderedPageBreak/>
        <w:t>一、目的</w:t>
      </w:r>
      <w:bookmarkEnd w:id="0"/>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为贯彻落实《医疗器械不良事件监测和再评价工作管理办法》，规范省内医疗器械不良事件风险信号监测流程，及时发现、处置医疗器械不良事件风险信号，制定本工作程序。</w:t>
      </w:r>
    </w:p>
    <w:p w:rsidR="008A34DF" w:rsidRDefault="00C20EBA">
      <w:pPr>
        <w:ind w:firstLineChars="200" w:firstLine="640"/>
        <w:outlineLvl w:val="0"/>
        <w:rPr>
          <w:rFonts w:ascii="仿宋" w:eastAsia="仿宋" w:hAnsi="仿宋" w:cs="仿宋"/>
          <w:sz w:val="32"/>
          <w:szCs w:val="32"/>
        </w:rPr>
      </w:pPr>
      <w:bookmarkStart w:id="1" w:name="_Toc30721"/>
      <w:r>
        <w:rPr>
          <w:rFonts w:ascii="仿宋" w:eastAsia="仿宋" w:hAnsi="仿宋" w:cs="仿宋" w:hint="eastAsia"/>
          <w:sz w:val="32"/>
          <w:szCs w:val="32"/>
        </w:rPr>
        <w:t>二、适用范围</w:t>
      </w:r>
      <w:bookmarkEnd w:id="1"/>
    </w:p>
    <w:p w:rsidR="008A34DF" w:rsidRDefault="00C20EBA">
      <w:pPr>
        <w:ind w:firstLineChars="200" w:firstLine="640"/>
        <w:rPr>
          <w:rFonts w:ascii="仿宋" w:eastAsia="仿宋" w:hAnsi="仿宋" w:cs="仿宋"/>
          <w:color w:val="FF0000"/>
          <w:sz w:val="32"/>
          <w:szCs w:val="32"/>
        </w:rPr>
      </w:pPr>
      <w:r>
        <w:rPr>
          <w:rFonts w:ascii="仿宋" w:eastAsia="仿宋" w:hAnsi="仿宋" w:cs="仿宋" w:hint="eastAsia"/>
          <w:sz w:val="32"/>
          <w:szCs w:val="32"/>
        </w:rPr>
        <w:t>本程序适用</w:t>
      </w:r>
      <w:r w:rsidR="00D74C2D">
        <w:rPr>
          <w:rFonts w:ascii="仿宋" w:eastAsia="仿宋" w:hAnsi="仿宋" w:cs="仿宋" w:hint="eastAsia"/>
          <w:sz w:val="32"/>
          <w:szCs w:val="32"/>
        </w:rPr>
        <w:t>于</w:t>
      </w:r>
      <w:r>
        <w:rPr>
          <w:rFonts w:ascii="仿宋" w:eastAsia="仿宋" w:hAnsi="仿宋" w:cs="仿宋" w:hint="eastAsia"/>
          <w:sz w:val="32"/>
          <w:szCs w:val="32"/>
        </w:rPr>
        <w:t>广东省内监测机构及使用单位发现的医疗器械不良事件风险信号的调查及处置。注册人</w:t>
      </w:r>
      <w:r w:rsidR="00BC4A80">
        <w:rPr>
          <w:rFonts w:ascii="仿宋" w:eastAsia="仿宋" w:hAnsi="仿宋" w:cs="仿宋" w:hint="eastAsia"/>
          <w:sz w:val="32"/>
          <w:szCs w:val="32"/>
        </w:rPr>
        <w:t>在监测工作中</w:t>
      </w:r>
      <w:r>
        <w:rPr>
          <w:rFonts w:ascii="仿宋" w:eastAsia="仿宋" w:hAnsi="仿宋" w:cs="仿宋" w:hint="eastAsia"/>
          <w:sz w:val="32"/>
          <w:szCs w:val="32"/>
        </w:rPr>
        <w:t>发现所持有产品可能存在</w:t>
      </w:r>
      <w:r w:rsidR="00D74C2D">
        <w:rPr>
          <w:rFonts w:ascii="仿宋" w:eastAsia="仿宋" w:hAnsi="仿宋" w:cs="仿宋" w:hint="eastAsia"/>
          <w:sz w:val="32"/>
          <w:szCs w:val="32"/>
        </w:rPr>
        <w:t>的</w:t>
      </w:r>
      <w:r>
        <w:rPr>
          <w:rFonts w:ascii="仿宋" w:eastAsia="仿宋" w:hAnsi="仿宋" w:cs="仿宋" w:hint="eastAsia"/>
          <w:sz w:val="32"/>
          <w:szCs w:val="32"/>
        </w:rPr>
        <w:t>不合理风险，应按照《医疗器械注册人开展产品不良事件风险评价指导原则》要求开展调查及产品风险评价。</w:t>
      </w:r>
    </w:p>
    <w:p w:rsidR="008A34DF" w:rsidRDefault="00C20EBA">
      <w:pPr>
        <w:ind w:firstLineChars="200" w:firstLine="640"/>
        <w:outlineLvl w:val="0"/>
        <w:rPr>
          <w:rFonts w:ascii="仿宋" w:eastAsia="仿宋" w:hAnsi="仿宋" w:cs="仿宋"/>
          <w:color w:val="FF0000"/>
          <w:sz w:val="32"/>
          <w:szCs w:val="32"/>
        </w:rPr>
      </w:pPr>
      <w:bookmarkStart w:id="2" w:name="_Toc18901"/>
      <w:r>
        <w:rPr>
          <w:rFonts w:ascii="仿宋" w:eastAsia="仿宋" w:hAnsi="仿宋" w:cs="仿宋" w:hint="eastAsia"/>
          <w:sz w:val="32"/>
          <w:szCs w:val="32"/>
        </w:rPr>
        <w:t>三、术语和定义</w:t>
      </w:r>
      <w:bookmarkEnd w:id="2"/>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（一）医疗器械不良事件风险信号：在医疗器械不良事件监测中，发现疑似医疗器械产品存在技术缺陷、质量缺陷、集中出现导致或可能导致不合理伤害等风险的事件。</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（二）严重伤害，是指有下列情况之一者：</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1.危及生命；</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2.导致机体功能的永久性伤害或者机体结构的永久性损伤；</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3.必须采取医疗措施才能避免上述永久性伤害或者损伤。</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（三）医疗器械注册人、备案人（以下简称注册人），是指取得医疗器械注册证或者办理医疗器械备案的企业或</w:t>
      </w:r>
      <w:r>
        <w:rPr>
          <w:rFonts w:ascii="仿宋" w:eastAsia="仿宋" w:hAnsi="仿宋" w:cs="仿宋" w:hint="eastAsia"/>
          <w:sz w:val="32"/>
          <w:szCs w:val="32"/>
        </w:rPr>
        <w:lastRenderedPageBreak/>
        <w:t>者研制机构。本程序所称注册人、备案人与《医疗器械不良事件监测和再评价管理办法》中所称医疗器械上市许可持有人内涵相同。</w:t>
      </w:r>
    </w:p>
    <w:p w:rsidR="008A34DF" w:rsidRDefault="00C20EBA">
      <w:pPr>
        <w:ind w:firstLineChars="200" w:firstLine="640"/>
        <w:outlineLvl w:val="0"/>
        <w:rPr>
          <w:rFonts w:ascii="仿宋" w:eastAsia="仿宋" w:hAnsi="仿宋" w:cs="仿宋"/>
          <w:sz w:val="32"/>
          <w:szCs w:val="32"/>
        </w:rPr>
      </w:pPr>
      <w:bookmarkStart w:id="3" w:name="_Toc962"/>
      <w:r>
        <w:rPr>
          <w:rFonts w:ascii="仿宋" w:eastAsia="仿宋" w:hAnsi="仿宋" w:cs="仿宋" w:hint="eastAsia"/>
          <w:sz w:val="32"/>
          <w:szCs w:val="32"/>
        </w:rPr>
        <w:t>四、工作职责</w:t>
      </w:r>
      <w:bookmarkEnd w:id="3"/>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一）省级监测机构：1.发现我省的风险信号，向省级药品监督管理部门和国家监测机构报告，提出风险控制建议。2.指导市级监测机构对辖区内的风险信号开展调查和处置工作。3.统筹协调事发地为我省的风险信号及涉我省持有人风险信号的调查处置工作。</w:t>
      </w:r>
    </w:p>
    <w:p w:rsidR="008A34DF" w:rsidRDefault="00C20EBA">
      <w:pPr>
        <w:ind w:firstLineChars="150" w:firstLine="480"/>
        <w:rPr>
          <w:rFonts w:ascii="仿宋" w:eastAsia="仿宋" w:hAnsi="仿宋" w:cs="仿宋"/>
          <w:sz w:val="32"/>
          <w:szCs w:val="32"/>
        </w:rPr>
      </w:pPr>
      <w:r>
        <w:rPr>
          <w:rFonts w:ascii="仿宋" w:eastAsia="仿宋" w:hAnsi="仿宋" w:cs="仿宋" w:hint="eastAsia"/>
          <w:sz w:val="32"/>
          <w:szCs w:val="32"/>
        </w:rPr>
        <w:t>（二）市级监测机构：1.发现辖区内的风险信号，及时赴使用单位开展现场调查，撰写调查报告，向市级药品监督管理部门和省级监测机构报告。2.督促指导辖区内注册人开展风险信号调查、评价，并审核辖区内注册人的产品风险评价报告。</w:t>
      </w:r>
    </w:p>
    <w:p w:rsidR="008A34DF" w:rsidRDefault="00C20EBA">
      <w:pPr>
        <w:ind w:firstLineChars="150" w:firstLine="480"/>
        <w:rPr>
          <w:rFonts w:ascii="仿宋" w:eastAsia="仿宋" w:hAnsi="仿宋" w:cs="仿宋"/>
          <w:sz w:val="32"/>
          <w:szCs w:val="32"/>
        </w:rPr>
      </w:pPr>
      <w:r>
        <w:rPr>
          <w:rFonts w:ascii="仿宋" w:eastAsia="仿宋" w:hAnsi="仿宋" w:cs="仿宋" w:hint="eastAsia"/>
          <w:sz w:val="32"/>
          <w:szCs w:val="32"/>
        </w:rPr>
        <w:t>（三）注册人：1.开展风险信号所涉产品的不良事件情况调查，并根据《医疗器械注册人开展产品不良事件风险评价指导原则》要求开展产品风险评价。2.根据风险信号调查评价结果及时采取相适应的风险控制措施。3.配合监管监测部门开展风险信号的调查和处置。</w:t>
      </w:r>
    </w:p>
    <w:p w:rsidR="008A34DF" w:rsidRDefault="00C20EBA">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（四）使用单位:1.发现所用医疗器械的风险信号，迅速开展临床调查，分析原因，及时报所在地市级监测机构。如发现重大安全性风险应及时向所在地的市级药品监督管</w:t>
      </w:r>
      <w:r>
        <w:rPr>
          <w:rFonts w:ascii="仿宋" w:eastAsia="仿宋" w:hAnsi="仿宋" w:cs="仿宋" w:hint="eastAsia"/>
          <w:sz w:val="32"/>
          <w:szCs w:val="32"/>
        </w:rPr>
        <w:lastRenderedPageBreak/>
        <w:t>理部门和不良反应监测机构报告，并采取有效风险控制措施。2.配合监管监测部门开展风险信号的调查和处置。3</w:t>
      </w:r>
      <w:r w:rsidR="00C04E9F">
        <w:rPr>
          <w:rFonts w:ascii="仿宋" w:eastAsia="仿宋" w:hAnsi="仿宋" w:cs="仿宋" w:hint="eastAsia"/>
          <w:sz w:val="32"/>
          <w:szCs w:val="32"/>
        </w:rPr>
        <w:t>.</w:t>
      </w:r>
      <w:r>
        <w:rPr>
          <w:rFonts w:ascii="仿宋" w:eastAsia="仿宋" w:hAnsi="仿宋" w:cs="仿宋" w:hint="eastAsia"/>
          <w:sz w:val="32"/>
          <w:szCs w:val="32"/>
        </w:rPr>
        <w:t>配合注册人开展风险信号的调查和处置。</w:t>
      </w:r>
    </w:p>
    <w:p w:rsidR="008A34DF" w:rsidRDefault="00C20EBA">
      <w:pPr>
        <w:ind w:firstLineChars="200" w:firstLine="640"/>
        <w:outlineLvl w:val="0"/>
        <w:rPr>
          <w:rFonts w:ascii="仿宋" w:eastAsia="仿宋" w:hAnsi="仿宋" w:cs="仿宋"/>
          <w:sz w:val="32"/>
          <w:szCs w:val="32"/>
        </w:rPr>
      </w:pPr>
      <w:bookmarkStart w:id="4" w:name="_Toc21230"/>
      <w:r>
        <w:rPr>
          <w:rFonts w:ascii="仿宋" w:eastAsia="仿宋" w:hAnsi="仿宋" w:cs="仿宋" w:hint="eastAsia"/>
          <w:sz w:val="32"/>
          <w:szCs w:val="32"/>
        </w:rPr>
        <w:t>五、风险信号纳入标准</w:t>
      </w:r>
      <w:bookmarkEnd w:id="4"/>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根据《医疗器械不良事件监测和再评价管理办法》的要求，发现具备以下条件之一的，纳入风险信号：</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1.导致死亡的不良事件报告。</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2.可能存在技术缺陷（如设计缺陷、使用说明指示不足等）、质量问题等的不良事件报告。</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3.存在以下情况的聚集性不良事件报告：</w:t>
      </w:r>
    </w:p>
    <w:p w:rsidR="008A34DF" w:rsidRDefault="00C20EBA">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同批次无源产品，1月内出现5例及以上类似的不良事件报告或出现3例及以上上述情况且至少1例导致严重伤害的报告；</w:t>
      </w:r>
    </w:p>
    <w:p w:rsidR="008A34DF" w:rsidRDefault="00C20EBA">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同型号有源产品，1月内出现5例及以上情况相似伤害或故障的报告或出现3例及以上上述情况且至少1例导致严重伤害的报告；</w:t>
      </w:r>
    </w:p>
    <w:p w:rsidR="008A34DF" w:rsidRDefault="00C20EBA">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同批次性体外诊断试剂，1月内出现5例及以上假阳性或假阴性结果或计量不准确且不能被体外诊断设备识别的报告或出现3例及以上上述情况</w:t>
      </w:r>
      <w:bookmarkStart w:id="5" w:name="_GoBack"/>
      <w:bookmarkEnd w:id="5"/>
      <w:r>
        <w:rPr>
          <w:rFonts w:ascii="仿宋" w:eastAsia="仿宋" w:hAnsi="仿宋" w:cs="仿宋" w:hint="eastAsia"/>
          <w:sz w:val="32"/>
          <w:szCs w:val="32"/>
        </w:rPr>
        <w:t>且至少1例导致严重伤害的报告。</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4.使用单位主动向监测机构沟通，怀疑医疗器械存在安全性风险的事件。</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lastRenderedPageBreak/>
        <w:t>5.上级交办需要调查处置的风险信号。</w:t>
      </w:r>
    </w:p>
    <w:p w:rsidR="008A34DF" w:rsidRDefault="00C20EBA">
      <w:pPr>
        <w:ind w:firstLineChars="200" w:firstLine="640"/>
        <w:outlineLvl w:val="0"/>
        <w:rPr>
          <w:rFonts w:ascii="仿宋" w:eastAsia="仿宋" w:hAnsi="仿宋" w:cs="仿宋"/>
          <w:sz w:val="32"/>
          <w:szCs w:val="32"/>
        </w:rPr>
      </w:pPr>
      <w:bookmarkStart w:id="6" w:name="_Toc3324"/>
      <w:r>
        <w:rPr>
          <w:rFonts w:ascii="仿宋" w:eastAsia="仿宋" w:hAnsi="仿宋" w:cs="仿宋" w:hint="eastAsia"/>
          <w:sz w:val="32"/>
          <w:szCs w:val="32"/>
        </w:rPr>
        <w:t>六、工作程序</w:t>
      </w:r>
      <w:bookmarkEnd w:id="6"/>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（一）调查程序</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1.事发地为我省的风险信号，事发地市级监测机构应立即向使用单位核实事件真实性，并及时赴使用单位开展现场调查。市级监测机构可视情况邀请省级监测机构、临床专家、产品技术专家参与调查。</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2.市级监测机构开展现场调查，应重点了解以下信息：（1）不良事件发生情况：包括不良事件发生时间、伤害/故障表现、不良事件后果、已采取的风险控制措施等；（2）患者诊治情况：不良事件涉及患者伤害的，应当调查核实患者的诊治信息，主要包括年龄、性别、原患疾病、用药史、相关体征及各种检查数据、救治措施、转归情况等：（3）医疗器械使用情况（包括产品基本信息、产品采购及使用情况、产品储存/维护保养情况、合并用药/械情况、使用人员资质等。</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3.调查完成后，市级监测机构应结合调查情况、全省不良事件监测数据及文献资料等对风险信号进行初步分析研判，必要时可组织风险信号专家讨论会，邀请相关专业的临床专家、产品技术专家共同研判。</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初步判断事件与医疗器械可能无关的，市级监测机构应将具体原因分析告知报告单位，不需撰写书面调查报告。</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初步判断事件与医疗器械可能有关的，市级监测机构应撰写书面调查报告报省级监测机构。</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死亡病例报告调查后均需撰写书面调查报告。</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另外，如果判断事件可能与医疗器械质量有关，市级监测机构还应向同级监管部门报告，建议监管部门对相关批次产品进行抽样检测，并实时追踪检测进展情况。</w:t>
      </w:r>
    </w:p>
    <w:p w:rsidR="008A34DF" w:rsidRDefault="00C20EBA">
      <w:pPr>
        <w:ind w:firstLineChars="200" w:firstLine="640"/>
        <w:rPr>
          <w:rFonts w:ascii="仿宋" w:eastAsia="仿宋" w:hAnsi="仿宋" w:cs="仿宋"/>
          <w:color w:val="FF0000"/>
          <w:sz w:val="32"/>
          <w:szCs w:val="32"/>
        </w:rPr>
      </w:pPr>
      <w:r>
        <w:rPr>
          <w:rFonts w:ascii="仿宋" w:eastAsia="仿宋" w:hAnsi="仿宋" w:cs="仿宋" w:hint="eastAsia"/>
          <w:sz w:val="32"/>
          <w:szCs w:val="32"/>
        </w:rPr>
        <w:t>4.省级监测机构与市级监测机构及时通报信息，并向市级监测机构提供技术指导，协助市级监测机构开展调查工作。</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（二）处置程序</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1.省级监测机构收到我省市级监测机构报告的调查报告及外省告知的风险信号信息后均需进行登记。涉我省注册人的风险信号，省级监测机构应告知注册人所在地市级监测机构，由注册人所在地市级监测机构通知辖区内注册人根据《医疗器械注册人开展产品不良事件风险评价指导原则》要求督促指导注册人开展调查、产品风险评价及处置；涉外省注册人的风险信号，省级监测机构应向注册人所在地省级监测机构通报风险信号信息，请注册人所在地省级监测机构督促注册人开展调查、评价和处置。</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2.我省注册人收到风险信号告知后，应立即按照《医疗器械注册人开展产品不良事件风险评价指导原则》要求开展调查及产品风险评价，并于收到告知后的3个月内完成产品风险评价报告，报所在地市级监测机构审核。</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lastRenderedPageBreak/>
        <w:t>3.市级监测机构应在注册人初步完成调查及产品风险评价后赴企业开展现场督促指导，重点沟通本次风险信号所涉产品的可疑风险点、注册人所采取的风险控制措施能否降低或控制风险及产品风险评价报告撰写是否符合要求；市级监测机构还应在注册人完成产品风险评价报告后，审核注册人提交的产品风险评价报告，审核通过后报省级监测机构。</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4.省、市级监测机构还应持续关注注册人的评价意见和控制措施，如果认为注册人控制措施不足，涉我省注册人的风险信号，由注册人所在地市级监测机构持续跟进；涉外省注册人的风险信号，由省级监测机构向注册人所在地省级监测机构和国家监测机构沟通并提出控制建议。</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5.省级监测机构每季度汇总本季度风险信号的分析处置情况并向省级药品监督管理部门和国家监测机构报告。</w:t>
      </w:r>
    </w:p>
    <w:p w:rsidR="008A34DF" w:rsidRDefault="00C20EBA">
      <w:pPr>
        <w:ind w:firstLineChars="200" w:firstLine="640"/>
        <w:outlineLvl w:val="0"/>
        <w:rPr>
          <w:rFonts w:ascii="仿宋" w:eastAsia="仿宋" w:hAnsi="仿宋" w:cs="仿宋"/>
          <w:sz w:val="32"/>
          <w:szCs w:val="32"/>
        </w:rPr>
      </w:pPr>
      <w:bookmarkStart w:id="7" w:name="_Toc19663"/>
      <w:r>
        <w:rPr>
          <w:rFonts w:ascii="仿宋" w:eastAsia="仿宋" w:hAnsi="仿宋" w:cs="仿宋" w:hint="eastAsia"/>
          <w:sz w:val="32"/>
          <w:szCs w:val="32"/>
        </w:rPr>
        <w:t>七、相关说明</w:t>
      </w:r>
      <w:bookmarkEnd w:id="7"/>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医疗器械不良事件报告和监测信息需依法对外发布，任何单位和个人均不得擅自对外公开。</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本工作程序依据《医疗器械不良事件监测和再评价管理办法》和我省实际工作情况制定，请各相关单位参照执行。如本工作程序或其中条款与国家以后颁布的风险信号调查处置指导文件有冲突，则自动作废。</w:t>
      </w:r>
    </w:p>
    <w:p w:rsidR="008A34DF" w:rsidRDefault="00C20EBA">
      <w:pPr>
        <w:rPr>
          <w:sz w:val="32"/>
          <w:szCs w:val="32"/>
        </w:rPr>
      </w:pPr>
      <w:bookmarkStart w:id="8" w:name="_Toc21842"/>
      <w:r>
        <w:rPr>
          <w:rFonts w:hint="eastAsia"/>
          <w:sz w:val="32"/>
          <w:szCs w:val="32"/>
        </w:rPr>
        <w:br w:type="page"/>
      </w:r>
      <w:r>
        <w:rPr>
          <w:rFonts w:hint="eastAsia"/>
          <w:sz w:val="32"/>
          <w:szCs w:val="32"/>
        </w:rPr>
        <w:lastRenderedPageBreak/>
        <w:t>附件</w:t>
      </w:r>
      <w:r>
        <w:rPr>
          <w:rFonts w:hint="eastAsia"/>
          <w:sz w:val="32"/>
          <w:szCs w:val="32"/>
        </w:rPr>
        <w:t>1</w:t>
      </w:r>
      <w:bookmarkEnd w:id="8"/>
    </w:p>
    <w:p w:rsidR="008A34DF" w:rsidRDefault="00C20EBA">
      <w:pPr>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t>关于XX产品不良事件风险信号调查报告</w:t>
      </w:r>
    </w:p>
    <w:p w:rsidR="008A34DF" w:rsidRDefault="008A34DF">
      <w:pPr>
        <w:rPr>
          <w:rFonts w:ascii="仿宋" w:eastAsia="仿宋" w:hAnsi="仿宋" w:cs="仿宋"/>
          <w:sz w:val="32"/>
          <w:szCs w:val="32"/>
        </w:rPr>
      </w:pP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x年x月x日，XX市级监测机构陆续收到xx（使用单位）报告的xx例涉及xx（注册人）的xx产品（注册证号、批号型号）的疑似不良事件报告。不良事件主要表现为：xxxx。收到不良事件信息后，我中心立即组织（如有专家可说明单位和专家名字）赴该使用单位开展现场调查，现将风险信号调查情况汇报如下：</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一、不良事件情况</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1.不良事件发生时间、伤害/故障表现、不良事件后果、已采取的风险控制措施等。</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2.不良事件涉及患者伤害的，应当调查核实患者的诊治信息，主要包括年龄、性别、原患疾病、用药史、相关体征及各种检查数据、救治措施、转归情况等。</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3.使用操作人员资质、具体操作过程（是否按说明或规范操作）、合并用药/械情况、既往使用同类医疗器械的情况等。</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三、所涉医疗器械情况</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1.医疗器械产品基本信息。</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2.医疗器械在使用单位的采购、使用情况。</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3.医疗器械存储/维护保养情况。</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lastRenderedPageBreak/>
        <w:t>4.医疗器械使用说明书。</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四、监测数据和文献资料检索情况</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检索国家医疗器械不良事件监测信息系统中的相关数据及文献资料并进行分析。</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五、不良事件原因和关联性分析</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1.根据不良事件情况、所涉医疗器械情况、数据和文献资料检索情况，综合分析不良事件发生的原因。重点分析产品可能存在的缺陷、使用者或患者的影响因素、并用医疗器械的影响因素、使用说明书是否有相关情况的说明或警示等。</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2.产品与不良事件的关联性</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六、不良事件控制建议</w:t>
      </w: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经过调查分析，根据产品的风险和存在的问题，提出相应的控制建议，如：修改产品说明书、产品召回、修改产品的技术要求、增加警示等。</w:t>
      </w:r>
    </w:p>
    <w:p w:rsidR="008A34DF" w:rsidRDefault="008A34DF">
      <w:pPr>
        <w:ind w:firstLineChars="200" w:firstLine="640"/>
        <w:rPr>
          <w:rFonts w:ascii="仿宋" w:eastAsia="仿宋" w:hAnsi="仿宋" w:cs="仿宋"/>
          <w:sz w:val="32"/>
          <w:szCs w:val="32"/>
        </w:rPr>
      </w:pPr>
    </w:p>
    <w:p w:rsidR="008A34DF" w:rsidRDefault="008A34DF">
      <w:pPr>
        <w:ind w:firstLineChars="200" w:firstLine="640"/>
        <w:rPr>
          <w:rFonts w:ascii="仿宋" w:eastAsia="仿宋" w:hAnsi="仿宋" w:cs="仿宋"/>
          <w:sz w:val="32"/>
          <w:szCs w:val="32"/>
        </w:rPr>
      </w:pPr>
    </w:p>
    <w:p w:rsidR="008A34DF" w:rsidRDefault="00C20EBA">
      <w:pPr>
        <w:ind w:firstLineChars="200" w:firstLine="640"/>
        <w:rPr>
          <w:rFonts w:ascii="仿宋" w:eastAsia="仿宋" w:hAnsi="仿宋" w:cs="仿宋"/>
          <w:sz w:val="32"/>
          <w:szCs w:val="32"/>
        </w:rPr>
      </w:pPr>
      <w:r>
        <w:rPr>
          <w:rFonts w:ascii="仿宋" w:eastAsia="仿宋" w:hAnsi="仿宋" w:cs="仿宋" w:hint="eastAsia"/>
          <w:sz w:val="32"/>
          <w:szCs w:val="32"/>
        </w:rPr>
        <w:t>附件：产品的使用说明书、技术资料、故障或者伤害照片、文献资料等。</w:t>
      </w:r>
    </w:p>
    <w:p w:rsidR="008A34DF" w:rsidRDefault="008A34DF">
      <w:pPr>
        <w:ind w:firstLineChars="200" w:firstLine="640"/>
        <w:rPr>
          <w:rFonts w:ascii="仿宋" w:eastAsia="仿宋" w:hAnsi="仿宋" w:cs="仿宋"/>
          <w:sz w:val="32"/>
          <w:szCs w:val="32"/>
        </w:rPr>
      </w:pPr>
    </w:p>
    <w:p w:rsidR="008A34DF" w:rsidRDefault="008A34DF">
      <w:pPr>
        <w:rPr>
          <w:rFonts w:ascii="仿宋" w:eastAsia="仿宋" w:hAnsi="仿宋" w:cs="仿宋"/>
          <w:sz w:val="32"/>
          <w:szCs w:val="32"/>
        </w:rPr>
      </w:pPr>
    </w:p>
    <w:p w:rsidR="008A34DF" w:rsidRDefault="00C20EBA">
      <w:pPr>
        <w:rPr>
          <w:rFonts w:ascii="仿宋" w:eastAsia="仿宋" w:hAnsi="仿宋" w:cs="仿宋"/>
          <w:sz w:val="32"/>
          <w:szCs w:val="32"/>
        </w:rPr>
      </w:pPr>
      <w:bookmarkStart w:id="9" w:name="_Toc28163"/>
      <w:r>
        <w:rPr>
          <w:rFonts w:ascii="仿宋" w:eastAsia="仿宋" w:hAnsi="仿宋" w:cs="仿宋" w:hint="eastAsia"/>
          <w:sz w:val="32"/>
          <w:szCs w:val="32"/>
        </w:rPr>
        <w:br w:type="page"/>
      </w:r>
    </w:p>
    <w:p w:rsidR="008A34DF" w:rsidRDefault="00C20EBA">
      <w:pPr>
        <w:outlineLvl w:val="0"/>
        <w:rPr>
          <w:rFonts w:ascii="仿宋" w:eastAsia="仿宋" w:hAnsi="仿宋" w:cs="仿宋"/>
          <w:sz w:val="32"/>
          <w:szCs w:val="32"/>
        </w:rPr>
      </w:pPr>
      <w:r>
        <w:rPr>
          <w:rFonts w:ascii="仿宋" w:eastAsia="仿宋" w:hAnsi="仿宋" w:cs="仿宋" w:hint="eastAsia"/>
          <w:sz w:val="32"/>
          <w:szCs w:val="32"/>
        </w:rPr>
        <w:lastRenderedPageBreak/>
        <w:t>附件2</w:t>
      </w:r>
      <w:bookmarkEnd w:id="9"/>
    </w:p>
    <w:tbl>
      <w:tblPr>
        <w:tblW w:w="8591" w:type="dxa"/>
        <w:jc w:val="center"/>
        <w:tblLayout w:type="fixed"/>
        <w:tblLook w:val="04A0"/>
      </w:tblPr>
      <w:tblGrid>
        <w:gridCol w:w="1440"/>
        <w:gridCol w:w="3990"/>
        <w:gridCol w:w="1853"/>
        <w:gridCol w:w="1308"/>
      </w:tblGrid>
      <w:tr w:rsidR="008A34DF">
        <w:trPr>
          <w:trHeight w:val="1996"/>
          <w:jc w:val="center"/>
        </w:trPr>
        <w:tc>
          <w:tcPr>
            <w:tcW w:w="8591" w:type="dxa"/>
            <w:gridSpan w:val="4"/>
            <w:tcBorders>
              <w:top w:val="nil"/>
              <w:left w:val="nil"/>
              <w:bottom w:val="nil"/>
              <w:right w:val="nil"/>
            </w:tcBorders>
            <w:vAlign w:val="center"/>
          </w:tcPr>
          <w:p w:rsidR="008A34DF" w:rsidRDefault="00C20EBA">
            <w:pPr>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t>医疗器械不良事件监测风险信号调查表</w:t>
            </w:r>
          </w:p>
          <w:p w:rsidR="008A34DF" w:rsidRDefault="008A34DF">
            <w:pPr>
              <w:jc w:val="center"/>
            </w:pPr>
          </w:p>
        </w:tc>
      </w:tr>
      <w:tr w:rsidR="008A34DF">
        <w:trPr>
          <w:trHeight w:val="624"/>
          <w:jc w:val="center"/>
        </w:trPr>
        <w:tc>
          <w:tcPr>
            <w:tcW w:w="1440" w:type="dxa"/>
            <w:tcBorders>
              <w:top w:val="single" w:sz="4" w:space="0" w:color="auto"/>
              <w:left w:val="single" w:sz="4" w:space="0" w:color="auto"/>
              <w:bottom w:val="single" w:sz="4" w:space="0" w:color="auto"/>
              <w:right w:val="single" w:sz="4" w:space="0" w:color="auto"/>
            </w:tcBorders>
            <w:vAlign w:val="center"/>
          </w:tcPr>
          <w:p w:rsidR="008A34DF" w:rsidRDefault="00C20EBA">
            <w:pPr>
              <w:widowControl/>
              <w:spacing w:line="360" w:lineRule="exact"/>
              <w:jc w:val="left"/>
              <w:rPr>
                <w:rFonts w:eastAsia="仿宋_GB2312"/>
                <w:b/>
                <w:bCs/>
                <w:kern w:val="0"/>
                <w:sz w:val="28"/>
                <w:szCs w:val="28"/>
              </w:rPr>
            </w:pPr>
            <w:r>
              <w:rPr>
                <w:rFonts w:eastAsia="仿宋_GB2312" w:hint="eastAsia"/>
                <w:b/>
                <w:bCs/>
                <w:kern w:val="0"/>
                <w:sz w:val="28"/>
                <w:szCs w:val="28"/>
              </w:rPr>
              <w:t>使用单位</w:t>
            </w:r>
          </w:p>
          <w:p w:rsidR="008A34DF" w:rsidRDefault="00C20EBA">
            <w:pPr>
              <w:widowControl/>
              <w:spacing w:line="360" w:lineRule="exact"/>
              <w:jc w:val="left"/>
              <w:rPr>
                <w:rFonts w:eastAsia="仿宋_GB2312"/>
                <w:kern w:val="0"/>
                <w:sz w:val="28"/>
                <w:szCs w:val="28"/>
              </w:rPr>
            </w:pPr>
            <w:r>
              <w:rPr>
                <w:rFonts w:eastAsia="仿宋_GB2312" w:hint="eastAsia"/>
                <w:b/>
                <w:bCs/>
                <w:kern w:val="0"/>
                <w:sz w:val="28"/>
                <w:szCs w:val="28"/>
              </w:rPr>
              <w:t>名称</w:t>
            </w:r>
          </w:p>
        </w:tc>
        <w:tc>
          <w:tcPr>
            <w:tcW w:w="7151" w:type="dxa"/>
            <w:gridSpan w:val="3"/>
            <w:tcBorders>
              <w:top w:val="single" w:sz="4" w:space="0" w:color="auto"/>
              <w:left w:val="nil"/>
              <w:bottom w:val="single" w:sz="4" w:space="0" w:color="auto"/>
              <w:right w:val="single" w:sz="4" w:space="0" w:color="000000"/>
            </w:tcBorders>
            <w:vAlign w:val="center"/>
          </w:tcPr>
          <w:p w:rsidR="008A34DF" w:rsidRDefault="008A34DF">
            <w:pPr>
              <w:widowControl/>
              <w:spacing w:line="360" w:lineRule="exact"/>
              <w:jc w:val="center"/>
              <w:rPr>
                <w:rFonts w:eastAsia="仿宋_GB2312"/>
                <w:kern w:val="0"/>
                <w:sz w:val="28"/>
                <w:szCs w:val="28"/>
              </w:rPr>
            </w:pPr>
          </w:p>
        </w:tc>
      </w:tr>
      <w:tr w:rsidR="008A34DF">
        <w:trPr>
          <w:trHeight w:val="624"/>
          <w:jc w:val="center"/>
        </w:trPr>
        <w:tc>
          <w:tcPr>
            <w:tcW w:w="1440" w:type="dxa"/>
            <w:tcBorders>
              <w:top w:val="single" w:sz="4" w:space="0" w:color="auto"/>
              <w:left w:val="single" w:sz="4" w:space="0" w:color="auto"/>
              <w:bottom w:val="single" w:sz="4" w:space="0" w:color="auto"/>
              <w:right w:val="single" w:sz="4" w:space="0" w:color="auto"/>
            </w:tcBorders>
            <w:vAlign w:val="center"/>
          </w:tcPr>
          <w:p w:rsidR="008A34DF" w:rsidRDefault="00C20EBA">
            <w:pPr>
              <w:widowControl/>
              <w:spacing w:line="360" w:lineRule="exact"/>
              <w:jc w:val="left"/>
              <w:rPr>
                <w:rFonts w:eastAsia="仿宋_GB2312"/>
                <w:b/>
                <w:bCs/>
                <w:kern w:val="0"/>
                <w:sz w:val="28"/>
                <w:szCs w:val="28"/>
              </w:rPr>
            </w:pPr>
            <w:r>
              <w:rPr>
                <w:rFonts w:eastAsia="仿宋_GB2312" w:hint="eastAsia"/>
                <w:b/>
                <w:bCs/>
                <w:kern w:val="0"/>
                <w:sz w:val="28"/>
                <w:szCs w:val="28"/>
              </w:rPr>
              <w:t>联系人</w:t>
            </w:r>
          </w:p>
        </w:tc>
        <w:tc>
          <w:tcPr>
            <w:tcW w:w="3990" w:type="dxa"/>
            <w:tcBorders>
              <w:top w:val="single" w:sz="4" w:space="0" w:color="auto"/>
              <w:left w:val="nil"/>
              <w:bottom w:val="single" w:sz="4" w:space="0" w:color="auto"/>
              <w:right w:val="single" w:sz="4" w:space="0" w:color="000000"/>
            </w:tcBorders>
            <w:vAlign w:val="center"/>
          </w:tcPr>
          <w:p w:rsidR="008A34DF" w:rsidRDefault="008A34DF">
            <w:pPr>
              <w:widowControl/>
              <w:spacing w:line="360" w:lineRule="exact"/>
              <w:jc w:val="center"/>
              <w:rPr>
                <w:rFonts w:eastAsia="仿宋_GB2312"/>
                <w:kern w:val="0"/>
                <w:sz w:val="28"/>
                <w:szCs w:val="28"/>
              </w:rPr>
            </w:pPr>
          </w:p>
        </w:tc>
        <w:tc>
          <w:tcPr>
            <w:tcW w:w="1853" w:type="dxa"/>
            <w:tcBorders>
              <w:top w:val="single" w:sz="4" w:space="0" w:color="auto"/>
              <w:left w:val="nil"/>
              <w:bottom w:val="single" w:sz="4" w:space="0" w:color="auto"/>
              <w:right w:val="single" w:sz="4" w:space="0" w:color="000000"/>
            </w:tcBorders>
            <w:vAlign w:val="center"/>
          </w:tcPr>
          <w:p w:rsidR="008A34DF" w:rsidRDefault="00C20EBA">
            <w:pPr>
              <w:widowControl/>
              <w:spacing w:line="360" w:lineRule="exact"/>
              <w:jc w:val="left"/>
              <w:rPr>
                <w:rFonts w:eastAsia="仿宋_GB2312"/>
                <w:kern w:val="0"/>
                <w:sz w:val="28"/>
                <w:szCs w:val="28"/>
              </w:rPr>
            </w:pPr>
            <w:r>
              <w:rPr>
                <w:rFonts w:eastAsia="仿宋_GB2312" w:hint="eastAsia"/>
                <w:b/>
                <w:bCs/>
                <w:kern w:val="0"/>
                <w:sz w:val="28"/>
                <w:szCs w:val="28"/>
              </w:rPr>
              <w:t>联系方式</w:t>
            </w:r>
          </w:p>
        </w:tc>
        <w:tc>
          <w:tcPr>
            <w:tcW w:w="1308" w:type="dxa"/>
            <w:tcBorders>
              <w:top w:val="single" w:sz="4" w:space="0" w:color="auto"/>
              <w:left w:val="nil"/>
              <w:bottom w:val="single" w:sz="4" w:space="0" w:color="auto"/>
              <w:right w:val="single" w:sz="4" w:space="0" w:color="000000"/>
            </w:tcBorders>
            <w:vAlign w:val="center"/>
          </w:tcPr>
          <w:p w:rsidR="008A34DF" w:rsidRDefault="008A34DF">
            <w:pPr>
              <w:widowControl/>
              <w:spacing w:line="360" w:lineRule="exact"/>
              <w:jc w:val="center"/>
              <w:rPr>
                <w:rFonts w:eastAsia="仿宋_GB2312"/>
                <w:kern w:val="0"/>
                <w:sz w:val="28"/>
                <w:szCs w:val="28"/>
              </w:rPr>
            </w:pPr>
          </w:p>
        </w:tc>
      </w:tr>
      <w:tr w:rsidR="008A34DF">
        <w:trPr>
          <w:trHeight w:val="624"/>
          <w:jc w:val="center"/>
        </w:trPr>
        <w:tc>
          <w:tcPr>
            <w:tcW w:w="1440" w:type="dxa"/>
            <w:tcBorders>
              <w:top w:val="nil"/>
              <w:left w:val="single" w:sz="4" w:space="0" w:color="auto"/>
              <w:bottom w:val="single" w:sz="4" w:space="0" w:color="auto"/>
              <w:right w:val="single" w:sz="4" w:space="0" w:color="auto"/>
            </w:tcBorders>
            <w:vAlign w:val="center"/>
          </w:tcPr>
          <w:p w:rsidR="008A34DF" w:rsidRDefault="00C20EBA">
            <w:pPr>
              <w:widowControl/>
              <w:spacing w:line="360" w:lineRule="exact"/>
              <w:jc w:val="left"/>
              <w:rPr>
                <w:rFonts w:eastAsia="仿宋_GB2312"/>
                <w:b/>
                <w:bCs/>
                <w:kern w:val="0"/>
                <w:sz w:val="28"/>
                <w:szCs w:val="28"/>
              </w:rPr>
            </w:pPr>
            <w:r>
              <w:rPr>
                <w:rFonts w:eastAsia="仿宋_GB2312" w:hint="eastAsia"/>
                <w:b/>
                <w:bCs/>
                <w:kern w:val="0"/>
                <w:sz w:val="28"/>
                <w:szCs w:val="28"/>
              </w:rPr>
              <w:t>调查日期</w:t>
            </w:r>
          </w:p>
        </w:tc>
        <w:tc>
          <w:tcPr>
            <w:tcW w:w="7151" w:type="dxa"/>
            <w:gridSpan w:val="3"/>
            <w:tcBorders>
              <w:top w:val="single" w:sz="4" w:space="0" w:color="auto"/>
              <w:left w:val="nil"/>
              <w:bottom w:val="single" w:sz="4" w:space="0" w:color="auto"/>
              <w:right w:val="single" w:sz="4" w:space="0" w:color="000000"/>
            </w:tcBorders>
            <w:vAlign w:val="center"/>
          </w:tcPr>
          <w:p w:rsidR="008A34DF" w:rsidRDefault="008A34DF">
            <w:pPr>
              <w:widowControl/>
              <w:spacing w:line="360" w:lineRule="exact"/>
              <w:jc w:val="center"/>
              <w:rPr>
                <w:rFonts w:eastAsia="仿宋_GB2312"/>
                <w:kern w:val="0"/>
                <w:sz w:val="28"/>
                <w:szCs w:val="28"/>
              </w:rPr>
            </w:pPr>
          </w:p>
        </w:tc>
      </w:tr>
      <w:tr w:rsidR="008A34DF">
        <w:trPr>
          <w:trHeight w:val="227"/>
          <w:jc w:val="center"/>
        </w:trPr>
        <w:tc>
          <w:tcPr>
            <w:tcW w:w="1440" w:type="dxa"/>
            <w:tcBorders>
              <w:top w:val="nil"/>
              <w:left w:val="single" w:sz="4" w:space="0" w:color="auto"/>
              <w:bottom w:val="single" w:sz="4" w:space="0" w:color="auto"/>
              <w:right w:val="single" w:sz="4" w:space="0" w:color="auto"/>
            </w:tcBorders>
            <w:vAlign w:val="center"/>
          </w:tcPr>
          <w:p w:rsidR="008A34DF" w:rsidRDefault="00C20EBA">
            <w:pPr>
              <w:widowControl/>
              <w:spacing w:line="360" w:lineRule="exact"/>
              <w:jc w:val="left"/>
              <w:rPr>
                <w:rFonts w:eastAsia="仿宋_GB2312"/>
                <w:b/>
                <w:bCs/>
                <w:kern w:val="0"/>
                <w:sz w:val="28"/>
                <w:szCs w:val="28"/>
              </w:rPr>
            </w:pPr>
            <w:r>
              <w:rPr>
                <w:rFonts w:eastAsia="仿宋_GB2312" w:hint="eastAsia"/>
                <w:b/>
                <w:bCs/>
                <w:kern w:val="0"/>
                <w:sz w:val="28"/>
                <w:szCs w:val="28"/>
              </w:rPr>
              <w:t>调查依据</w:t>
            </w:r>
          </w:p>
        </w:tc>
        <w:tc>
          <w:tcPr>
            <w:tcW w:w="7151" w:type="dxa"/>
            <w:gridSpan w:val="3"/>
            <w:tcBorders>
              <w:top w:val="nil"/>
              <w:left w:val="nil"/>
              <w:bottom w:val="single" w:sz="4" w:space="0" w:color="auto"/>
              <w:right w:val="single" w:sz="4" w:space="0" w:color="auto"/>
            </w:tcBorders>
            <w:vAlign w:val="center"/>
          </w:tcPr>
          <w:p w:rsidR="008A34DF" w:rsidRDefault="00C20EBA">
            <w:pPr>
              <w:widowControl/>
              <w:spacing w:line="360" w:lineRule="exact"/>
              <w:rPr>
                <w:rFonts w:eastAsia="仿宋_GB2312"/>
                <w:kern w:val="0"/>
                <w:sz w:val="28"/>
                <w:szCs w:val="28"/>
              </w:rPr>
            </w:pPr>
            <w:r>
              <w:rPr>
                <w:rFonts w:eastAsia="仿宋_GB2312" w:hint="eastAsia"/>
                <w:kern w:val="0"/>
                <w:sz w:val="28"/>
                <w:szCs w:val="28"/>
              </w:rPr>
              <w:t>《医疗器械不良事件监测和再评价管理办法》（总局令第</w:t>
            </w:r>
            <w:r>
              <w:rPr>
                <w:rFonts w:eastAsia="仿宋_GB2312" w:hint="eastAsia"/>
                <w:kern w:val="0"/>
                <w:sz w:val="28"/>
                <w:szCs w:val="28"/>
              </w:rPr>
              <w:t>1</w:t>
            </w:r>
            <w:r>
              <w:rPr>
                <w:rFonts w:eastAsia="仿宋_GB2312" w:hint="eastAsia"/>
                <w:kern w:val="0"/>
                <w:sz w:val="28"/>
                <w:szCs w:val="28"/>
              </w:rPr>
              <w:t>号）</w:t>
            </w:r>
          </w:p>
        </w:tc>
      </w:tr>
      <w:tr w:rsidR="008A34DF">
        <w:trPr>
          <w:trHeight w:val="787"/>
          <w:jc w:val="center"/>
        </w:trPr>
        <w:tc>
          <w:tcPr>
            <w:tcW w:w="1440" w:type="dxa"/>
            <w:tcBorders>
              <w:top w:val="nil"/>
              <w:left w:val="single" w:sz="4" w:space="0" w:color="auto"/>
              <w:bottom w:val="single" w:sz="4" w:space="0" w:color="auto"/>
              <w:right w:val="single" w:sz="4" w:space="0" w:color="auto"/>
            </w:tcBorders>
            <w:vAlign w:val="center"/>
          </w:tcPr>
          <w:p w:rsidR="008A34DF" w:rsidRDefault="00C20EBA">
            <w:pPr>
              <w:widowControl/>
              <w:spacing w:line="360" w:lineRule="exact"/>
              <w:jc w:val="left"/>
              <w:rPr>
                <w:rFonts w:eastAsia="仿宋_GB2312"/>
                <w:b/>
                <w:bCs/>
                <w:kern w:val="0"/>
                <w:sz w:val="28"/>
                <w:szCs w:val="28"/>
              </w:rPr>
            </w:pPr>
            <w:r>
              <w:rPr>
                <w:rFonts w:eastAsia="仿宋_GB2312" w:hint="eastAsia"/>
                <w:b/>
                <w:bCs/>
                <w:kern w:val="0"/>
                <w:sz w:val="28"/>
                <w:szCs w:val="28"/>
              </w:rPr>
              <w:t>调查背景</w:t>
            </w:r>
          </w:p>
        </w:tc>
        <w:tc>
          <w:tcPr>
            <w:tcW w:w="7151" w:type="dxa"/>
            <w:gridSpan w:val="3"/>
            <w:tcBorders>
              <w:top w:val="nil"/>
              <w:left w:val="nil"/>
              <w:bottom w:val="single" w:sz="4" w:space="0" w:color="auto"/>
              <w:right w:val="single" w:sz="4" w:space="0" w:color="auto"/>
            </w:tcBorders>
            <w:vAlign w:val="center"/>
          </w:tcPr>
          <w:p w:rsidR="008A34DF" w:rsidRDefault="008A34DF">
            <w:pPr>
              <w:widowControl/>
              <w:spacing w:line="360" w:lineRule="exact"/>
              <w:rPr>
                <w:rFonts w:eastAsia="仿宋_GB2312"/>
                <w:kern w:val="0"/>
                <w:sz w:val="28"/>
                <w:szCs w:val="28"/>
              </w:rPr>
            </w:pPr>
          </w:p>
          <w:p w:rsidR="008A34DF" w:rsidRDefault="008A34DF">
            <w:pPr>
              <w:widowControl/>
              <w:spacing w:line="360" w:lineRule="exact"/>
              <w:rPr>
                <w:rFonts w:eastAsia="仿宋_GB2312"/>
                <w:kern w:val="0"/>
                <w:sz w:val="28"/>
                <w:szCs w:val="28"/>
              </w:rPr>
            </w:pPr>
          </w:p>
        </w:tc>
      </w:tr>
      <w:tr w:rsidR="008A34DF">
        <w:trPr>
          <w:trHeight w:val="3735"/>
          <w:jc w:val="center"/>
        </w:trPr>
        <w:tc>
          <w:tcPr>
            <w:tcW w:w="1440" w:type="dxa"/>
            <w:vMerge w:val="restart"/>
            <w:tcBorders>
              <w:top w:val="nil"/>
              <w:left w:val="single" w:sz="4" w:space="0" w:color="auto"/>
              <w:right w:val="single" w:sz="4" w:space="0" w:color="auto"/>
            </w:tcBorders>
            <w:vAlign w:val="center"/>
          </w:tcPr>
          <w:p w:rsidR="008A34DF" w:rsidRDefault="00C20EBA">
            <w:pPr>
              <w:widowControl/>
              <w:spacing w:line="360" w:lineRule="exact"/>
              <w:jc w:val="left"/>
              <w:rPr>
                <w:rFonts w:eastAsia="仿宋_GB2312"/>
                <w:b/>
                <w:bCs/>
                <w:kern w:val="0"/>
                <w:sz w:val="28"/>
                <w:szCs w:val="28"/>
              </w:rPr>
            </w:pPr>
            <w:r>
              <w:rPr>
                <w:rFonts w:eastAsia="仿宋_GB2312" w:hint="eastAsia"/>
                <w:b/>
                <w:bCs/>
                <w:kern w:val="0"/>
                <w:sz w:val="28"/>
                <w:szCs w:val="28"/>
              </w:rPr>
              <w:t>调查项目</w:t>
            </w:r>
          </w:p>
        </w:tc>
        <w:tc>
          <w:tcPr>
            <w:tcW w:w="7151" w:type="dxa"/>
            <w:gridSpan w:val="3"/>
            <w:tcBorders>
              <w:top w:val="nil"/>
              <w:left w:val="nil"/>
              <w:bottom w:val="single" w:sz="4" w:space="0" w:color="auto"/>
              <w:right w:val="single" w:sz="4" w:space="0" w:color="auto"/>
            </w:tcBorders>
            <w:vAlign w:val="center"/>
          </w:tcPr>
          <w:p w:rsidR="008A34DF" w:rsidRDefault="00C20EBA">
            <w:pPr>
              <w:widowControl/>
              <w:spacing w:line="360" w:lineRule="exact"/>
              <w:rPr>
                <w:rFonts w:eastAsia="仿宋_GB2312"/>
                <w:kern w:val="0"/>
                <w:sz w:val="28"/>
                <w:szCs w:val="28"/>
              </w:rPr>
            </w:pPr>
            <w:r>
              <w:rPr>
                <w:rFonts w:eastAsia="仿宋_GB2312" w:hint="eastAsia"/>
                <w:kern w:val="0"/>
                <w:sz w:val="28"/>
                <w:szCs w:val="28"/>
              </w:rPr>
              <w:t>一、不良事件情况</w:t>
            </w:r>
          </w:p>
          <w:p w:rsidR="008A34DF" w:rsidRDefault="00C20EBA">
            <w:pPr>
              <w:widowControl/>
              <w:spacing w:line="360" w:lineRule="exact"/>
              <w:rPr>
                <w:rFonts w:eastAsia="仿宋_GB2312"/>
                <w:kern w:val="0"/>
                <w:sz w:val="28"/>
                <w:szCs w:val="28"/>
              </w:rPr>
            </w:pPr>
            <w:r>
              <w:rPr>
                <w:rFonts w:eastAsia="仿宋_GB2312" w:hint="eastAsia"/>
                <w:kern w:val="0"/>
                <w:sz w:val="28"/>
                <w:szCs w:val="28"/>
              </w:rPr>
              <w:t xml:space="preserve">1. </w:t>
            </w:r>
            <w:r>
              <w:rPr>
                <w:rFonts w:eastAsia="仿宋_GB2312" w:hint="eastAsia"/>
                <w:kern w:val="0"/>
                <w:sz w:val="28"/>
                <w:szCs w:val="28"/>
              </w:rPr>
              <w:t>不良事件发生时间、伤害</w:t>
            </w:r>
            <w:r>
              <w:rPr>
                <w:rFonts w:eastAsia="仿宋_GB2312" w:hint="eastAsia"/>
                <w:kern w:val="0"/>
                <w:sz w:val="28"/>
                <w:szCs w:val="28"/>
              </w:rPr>
              <w:t>/</w:t>
            </w:r>
            <w:r>
              <w:rPr>
                <w:rFonts w:eastAsia="仿宋_GB2312" w:hint="eastAsia"/>
                <w:kern w:val="0"/>
                <w:sz w:val="28"/>
                <w:szCs w:val="28"/>
              </w:rPr>
              <w:t>故障表现、不良事件后果、已采取的风险控制措施等。</w:t>
            </w:r>
          </w:p>
          <w:p w:rsidR="008A34DF" w:rsidRDefault="00C20EBA">
            <w:pPr>
              <w:widowControl/>
              <w:spacing w:line="360" w:lineRule="exact"/>
              <w:rPr>
                <w:rFonts w:eastAsia="仿宋_GB2312"/>
                <w:kern w:val="0"/>
                <w:sz w:val="28"/>
                <w:szCs w:val="28"/>
              </w:rPr>
            </w:pPr>
            <w:r>
              <w:rPr>
                <w:rFonts w:eastAsia="仿宋_GB2312" w:hint="eastAsia"/>
                <w:kern w:val="0"/>
                <w:sz w:val="28"/>
                <w:szCs w:val="28"/>
              </w:rPr>
              <w:t xml:space="preserve">2. </w:t>
            </w:r>
            <w:r>
              <w:rPr>
                <w:rFonts w:eastAsia="仿宋_GB2312" w:hint="eastAsia"/>
                <w:kern w:val="0"/>
                <w:sz w:val="28"/>
                <w:szCs w:val="28"/>
              </w:rPr>
              <w:t>不良事件涉及患者伤害的，应当调查核实患者的诊治信息，主要包括年龄、性别、原患疾病、用药史、相关体征及各种检查数据、救治措施、转归情况等。</w:t>
            </w:r>
          </w:p>
          <w:p w:rsidR="008A34DF" w:rsidRDefault="00C20EBA">
            <w:pPr>
              <w:widowControl/>
              <w:spacing w:line="360" w:lineRule="exact"/>
              <w:rPr>
                <w:rFonts w:eastAsia="仿宋_GB2312"/>
                <w:kern w:val="0"/>
                <w:sz w:val="28"/>
                <w:szCs w:val="28"/>
              </w:rPr>
            </w:pPr>
            <w:r>
              <w:rPr>
                <w:rFonts w:eastAsia="仿宋_GB2312" w:hint="eastAsia"/>
                <w:kern w:val="0"/>
                <w:sz w:val="28"/>
                <w:szCs w:val="28"/>
              </w:rPr>
              <w:t xml:space="preserve">3. </w:t>
            </w:r>
            <w:r>
              <w:rPr>
                <w:rFonts w:eastAsia="仿宋_GB2312" w:hint="eastAsia"/>
                <w:kern w:val="0"/>
                <w:sz w:val="28"/>
                <w:szCs w:val="28"/>
              </w:rPr>
              <w:t>使用操作人员资质、具体操作过程（是否按说明或规范操作）、合并用药</w:t>
            </w:r>
            <w:r>
              <w:rPr>
                <w:rFonts w:eastAsia="仿宋_GB2312" w:hint="eastAsia"/>
                <w:kern w:val="0"/>
                <w:sz w:val="28"/>
                <w:szCs w:val="28"/>
              </w:rPr>
              <w:t>/</w:t>
            </w:r>
            <w:r>
              <w:rPr>
                <w:rFonts w:eastAsia="仿宋_GB2312" w:hint="eastAsia"/>
                <w:kern w:val="0"/>
                <w:sz w:val="28"/>
                <w:szCs w:val="28"/>
              </w:rPr>
              <w:t>械情况、既往使用同类医疗器械的情况等。</w:t>
            </w:r>
          </w:p>
        </w:tc>
      </w:tr>
      <w:tr w:rsidR="008A34DF">
        <w:trPr>
          <w:trHeight w:val="1696"/>
          <w:jc w:val="center"/>
        </w:trPr>
        <w:tc>
          <w:tcPr>
            <w:tcW w:w="1440" w:type="dxa"/>
            <w:vMerge/>
            <w:tcBorders>
              <w:left w:val="single" w:sz="4" w:space="0" w:color="auto"/>
              <w:right w:val="single" w:sz="4" w:space="0" w:color="auto"/>
            </w:tcBorders>
            <w:vAlign w:val="center"/>
          </w:tcPr>
          <w:p w:rsidR="008A34DF" w:rsidRDefault="008A34DF">
            <w:pPr>
              <w:widowControl/>
              <w:spacing w:line="360" w:lineRule="exact"/>
              <w:jc w:val="left"/>
              <w:rPr>
                <w:rFonts w:eastAsia="仿宋_GB2312"/>
                <w:b/>
                <w:bCs/>
                <w:kern w:val="0"/>
                <w:sz w:val="28"/>
                <w:szCs w:val="28"/>
              </w:rPr>
            </w:pPr>
          </w:p>
        </w:tc>
        <w:tc>
          <w:tcPr>
            <w:tcW w:w="7151" w:type="dxa"/>
            <w:gridSpan w:val="3"/>
            <w:tcBorders>
              <w:top w:val="nil"/>
              <w:left w:val="nil"/>
              <w:bottom w:val="single" w:sz="4" w:space="0" w:color="auto"/>
              <w:right w:val="single" w:sz="4" w:space="0" w:color="auto"/>
            </w:tcBorders>
            <w:vAlign w:val="center"/>
          </w:tcPr>
          <w:p w:rsidR="008A34DF" w:rsidRDefault="00C20EBA">
            <w:pPr>
              <w:widowControl/>
              <w:spacing w:line="360" w:lineRule="exact"/>
              <w:rPr>
                <w:rFonts w:eastAsia="仿宋_GB2312"/>
                <w:kern w:val="0"/>
                <w:sz w:val="28"/>
                <w:szCs w:val="28"/>
              </w:rPr>
            </w:pPr>
            <w:r>
              <w:rPr>
                <w:rFonts w:eastAsia="仿宋_GB2312" w:hint="eastAsia"/>
                <w:kern w:val="0"/>
                <w:sz w:val="28"/>
                <w:szCs w:val="28"/>
              </w:rPr>
              <w:t>二、所涉医疗器械信息</w:t>
            </w:r>
          </w:p>
          <w:p w:rsidR="008A34DF" w:rsidRDefault="00C20EBA">
            <w:pPr>
              <w:widowControl/>
              <w:spacing w:line="360" w:lineRule="exact"/>
              <w:rPr>
                <w:rFonts w:eastAsia="仿宋_GB2312"/>
                <w:kern w:val="0"/>
                <w:sz w:val="28"/>
                <w:szCs w:val="28"/>
              </w:rPr>
            </w:pPr>
            <w:r>
              <w:rPr>
                <w:rFonts w:eastAsia="仿宋_GB2312" w:hint="eastAsia"/>
                <w:kern w:val="0"/>
                <w:sz w:val="28"/>
                <w:szCs w:val="28"/>
              </w:rPr>
              <w:t xml:space="preserve">1. </w:t>
            </w:r>
            <w:r>
              <w:rPr>
                <w:rFonts w:eastAsia="仿宋_GB2312" w:hint="eastAsia"/>
                <w:kern w:val="0"/>
                <w:sz w:val="28"/>
                <w:szCs w:val="28"/>
              </w:rPr>
              <w:t>所涉产品信息。</w:t>
            </w:r>
          </w:p>
          <w:p w:rsidR="008A34DF" w:rsidRDefault="00C20EBA">
            <w:pPr>
              <w:widowControl/>
              <w:spacing w:line="360" w:lineRule="exact"/>
              <w:rPr>
                <w:rFonts w:eastAsia="仿宋_GB2312"/>
                <w:kern w:val="0"/>
                <w:sz w:val="28"/>
                <w:szCs w:val="28"/>
              </w:rPr>
            </w:pPr>
            <w:r>
              <w:rPr>
                <w:rFonts w:eastAsia="仿宋_GB2312" w:hint="eastAsia"/>
                <w:kern w:val="0"/>
                <w:sz w:val="28"/>
                <w:szCs w:val="28"/>
              </w:rPr>
              <w:t xml:space="preserve">2. </w:t>
            </w:r>
            <w:r>
              <w:rPr>
                <w:rFonts w:eastAsia="仿宋_GB2312" w:hint="eastAsia"/>
                <w:kern w:val="0"/>
                <w:sz w:val="28"/>
                <w:szCs w:val="28"/>
              </w:rPr>
              <w:t>所涉医疗器械在使用单位的采购、使用情况。</w:t>
            </w:r>
          </w:p>
          <w:p w:rsidR="008A34DF" w:rsidRDefault="00C20EBA">
            <w:pPr>
              <w:widowControl/>
              <w:spacing w:line="360" w:lineRule="exact"/>
              <w:rPr>
                <w:rFonts w:eastAsia="仿宋_GB2312"/>
                <w:kern w:val="0"/>
                <w:sz w:val="28"/>
                <w:szCs w:val="28"/>
              </w:rPr>
            </w:pPr>
            <w:r>
              <w:rPr>
                <w:rFonts w:eastAsia="仿宋_GB2312" w:hint="eastAsia"/>
                <w:kern w:val="0"/>
                <w:sz w:val="28"/>
                <w:szCs w:val="28"/>
              </w:rPr>
              <w:t xml:space="preserve">3. </w:t>
            </w:r>
            <w:r>
              <w:rPr>
                <w:rFonts w:eastAsia="仿宋_GB2312" w:hint="eastAsia"/>
                <w:kern w:val="0"/>
                <w:sz w:val="28"/>
                <w:szCs w:val="28"/>
              </w:rPr>
              <w:t>医疗器械存储</w:t>
            </w:r>
            <w:r>
              <w:rPr>
                <w:rFonts w:eastAsia="仿宋_GB2312" w:hint="eastAsia"/>
                <w:kern w:val="0"/>
                <w:sz w:val="28"/>
                <w:szCs w:val="28"/>
              </w:rPr>
              <w:t>/</w:t>
            </w:r>
            <w:r>
              <w:rPr>
                <w:rFonts w:eastAsia="仿宋_GB2312" w:hint="eastAsia"/>
                <w:kern w:val="0"/>
                <w:sz w:val="28"/>
                <w:szCs w:val="28"/>
              </w:rPr>
              <w:t>维护保养情况。</w:t>
            </w:r>
          </w:p>
          <w:p w:rsidR="008A34DF" w:rsidRDefault="00C20EBA">
            <w:pPr>
              <w:widowControl/>
              <w:spacing w:line="360" w:lineRule="exact"/>
              <w:rPr>
                <w:rFonts w:eastAsia="仿宋_GB2312"/>
                <w:kern w:val="0"/>
                <w:sz w:val="28"/>
                <w:szCs w:val="28"/>
              </w:rPr>
            </w:pPr>
            <w:r>
              <w:rPr>
                <w:rFonts w:eastAsia="仿宋_GB2312" w:hint="eastAsia"/>
                <w:kern w:val="0"/>
                <w:sz w:val="28"/>
                <w:szCs w:val="28"/>
              </w:rPr>
              <w:t xml:space="preserve">4. </w:t>
            </w:r>
            <w:r>
              <w:rPr>
                <w:rFonts w:eastAsia="仿宋_GB2312" w:hint="eastAsia"/>
                <w:kern w:val="0"/>
                <w:sz w:val="28"/>
                <w:szCs w:val="28"/>
              </w:rPr>
              <w:t>医疗器械使用说明书。</w:t>
            </w:r>
          </w:p>
        </w:tc>
      </w:tr>
      <w:tr w:rsidR="008A34DF">
        <w:trPr>
          <w:trHeight w:val="1361"/>
          <w:jc w:val="center"/>
        </w:trPr>
        <w:tc>
          <w:tcPr>
            <w:tcW w:w="1440" w:type="dxa"/>
            <w:tcBorders>
              <w:left w:val="single" w:sz="4" w:space="0" w:color="auto"/>
              <w:bottom w:val="single" w:sz="4" w:space="0" w:color="auto"/>
              <w:right w:val="single" w:sz="4" w:space="0" w:color="auto"/>
            </w:tcBorders>
            <w:vAlign w:val="center"/>
          </w:tcPr>
          <w:p w:rsidR="008A34DF" w:rsidRDefault="00C20EBA">
            <w:pPr>
              <w:widowControl/>
              <w:spacing w:line="360" w:lineRule="exact"/>
              <w:jc w:val="left"/>
              <w:rPr>
                <w:rFonts w:eastAsia="仿宋_GB2312"/>
                <w:b/>
                <w:bCs/>
                <w:kern w:val="0"/>
                <w:sz w:val="28"/>
                <w:szCs w:val="28"/>
              </w:rPr>
            </w:pPr>
            <w:r>
              <w:rPr>
                <w:rFonts w:eastAsia="仿宋_GB2312" w:hint="eastAsia"/>
                <w:b/>
                <w:bCs/>
                <w:kern w:val="0"/>
                <w:sz w:val="28"/>
                <w:szCs w:val="28"/>
              </w:rPr>
              <w:t>调查人员</w:t>
            </w:r>
          </w:p>
        </w:tc>
        <w:tc>
          <w:tcPr>
            <w:tcW w:w="7151" w:type="dxa"/>
            <w:gridSpan w:val="3"/>
            <w:tcBorders>
              <w:top w:val="nil"/>
              <w:left w:val="nil"/>
              <w:bottom w:val="single" w:sz="4" w:space="0" w:color="auto"/>
              <w:right w:val="single" w:sz="4" w:space="0" w:color="auto"/>
            </w:tcBorders>
            <w:vAlign w:val="center"/>
          </w:tcPr>
          <w:p w:rsidR="008A34DF" w:rsidRDefault="008A34DF">
            <w:pPr>
              <w:widowControl/>
              <w:spacing w:line="360" w:lineRule="exact"/>
              <w:rPr>
                <w:rFonts w:eastAsia="仿宋_GB2312"/>
                <w:kern w:val="0"/>
                <w:sz w:val="28"/>
                <w:szCs w:val="28"/>
              </w:rPr>
            </w:pPr>
          </w:p>
        </w:tc>
      </w:tr>
    </w:tbl>
    <w:p w:rsidR="008A34DF" w:rsidRDefault="008A34DF" w:rsidP="00817639">
      <w:pPr>
        <w:widowControl/>
        <w:jc w:val="left"/>
        <w:rPr>
          <w:sz w:val="28"/>
          <w:szCs w:val="28"/>
        </w:rPr>
      </w:pPr>
    </w:p>
    <w:p w:rsidR="008A34DF" w:rsidRDefault="00C20EBA">
      <w:pPr>
        <w:rPr>
          <w:sz w:val="28"/>
          <w:szCs w:val="28"/>
        </w:rPr>
      </w:pPr>
      <w:bookmarkStart w:id="10" w:name="_Toc11954"/>
      <w:r>
        <w:rPr>
          <w:rFonts w:hint="eastAsia"/>
          <w:sz w:val="28"/>
          <w:szCs w:val="28"/>
        </w:rPr>
        <w:lastRenderedPageBreak/>
        <w:t>附件</w:t>
      </w:r>
      <w:r>
        <w:rPr>
          <w:rFonts w:hint="eastAsia"/>
          <w:sz w:val="28"/>
          <w:szCs w:val="28"/>
        </w:rPr>
        <w:t>3</w:t>
      </w:r>
      <w:bookmarkEnd w:id="10"/>
    </w:p>
    <w:p w:rsidR="008A34DF" w:rsidRDefault="00C20EBA">
      <w:pPr>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t>医疗器械风险信号记录表</w:t>
      </w:r>
    </w:p>
    <w:p w:rsidR="008A34DF" w:rsidRDefault="008A34DF">
      <w:pPr>
        <w:jc w:val="center"/>
        <w:rPr>
          <w:rFonts w:ascii="创艺简标宋" w:eastAsia="创艺简标宋" w:hAnsi="创艺简标宋" w:cs="创艺简标宋"/>
          <w:sz w:val="44"/>
          <w:szCs w:val="44"/>
        </w:rPr>
      </w:pPr>
    </w:p>
    <w:tbl>
      <w:tblPr>
        <w:tblStyle w:val="a7"/>
        <w:tblW w:w="0" w:type="auto"/>
        <w:tblLook w:val="04A0"/>
      </w:tblPr>
      <w:tblGrid>
        <w:gridCol w:w="905"/>
        <w:gridCol w:w="892"/>
        <w:gridCol w:w="923"/>
        <w:gridCol w:w="903"/>
        <w:gridCol w:w="800"/>
        <w:gridCol w:w="897"/>
        <w:gridCol w:w="1129"/>
        <w:gridCol w:w="1121"/>
        <w:gridCol w:w="946"/>
      </w:tblGrid>
      <w:tr w:rsidR="008A34DF">
        <w:trPr>
          <w:trHeight w:val="694"/>
        </w:trPr>
        <w:tc>
          <w:tcPr>
            <w:tcW w:w="1415" w:type="dxa"/>
          </w:tcPr>
          <w:p w:rsidR="008A34DF" w:rsidRDefault="00C20EBA">
            <w:pPr>
              <w:jc w:val="center"/>
              <w:rPr>
                <w:sz w:val="28"/>
                <w:szCs w:val="28"/>
              </w:rPr>
            </w:pPr>
            <w:r>
              <w:rPr>
                <w:rFonts w:hint="eastAsia"/>
                <w:sz w:val="28"/>
                <w:szCs w:val="28"/>
              </w:rPr>
              <w:t>信号编号</w:t>
            </w:r>
          </w:p>
        </w:tc>
        <w:tc>
          <w:tcPr>
            <w:tcW w:w="1385" w:type="dxa"/>
          </w:tcPr>
          <w:p w:rsidR="008A34DF" w:rsidRDefault="00C20EBA">
            <w:pPr>
              <w:jc w:val="center"/>
              <w:rPr>
                <w:sz w:val="28"/>
                <w:szCs w:val="28"/>
              </w:rPr>
            </w:pPr>
            <w:r>
              <w:rPr>
                <w:rFonts w:hint="eastAsia"/>
                <w:sz w:val="28"/>
                <w:szCs w:val="28"/>
              </w:rPr>
              <w:t>报告时间</w:t>
            </w:r>
          </w:p>
        </w:tc>
        <w:tc>
          <w:tcPr>
            <w:tcW w:w="1454" w:type="dxa"/>
          </w:tcPr>
          <w:p w:rsidR="008A34DF" w:rsidRDefault="00C20EBA">
            <w:pPr>
              <w:jc w:val="center"/>
              <w:rPr>
                <w:sz w:val="28"/>
                <w:szCs w:val="28"/>
              </w:rPr>
            </w:pPr>
            <w:r>
              <w:rPr>
                <w:rFonts w:hint="eastAsia"/>
                <w:sz w:val="28"/>
                <w:szCs w:val="28"/>
              </w:rPr>
              <w:t>报告单位</w:t>
            </w:r>
          </w:p>
        </w:tc>
        <w:tc>
          <w:tcPr>
            <w:tcW w:w="1408" w:type="dxa"/>
          </w:tcPr>
          <w:p w:rsidR="008A34DF" w:rsidRDefault="00C20EBA">
            <w:pPr>
              <w:jc w:val="center"/>
              <w:rPr>
                <w:sz w:val="28"/>
                <w:szCs w:val="28"/>
              </w:rPr>
            </w:pPr>
            <w:r>
              <w:rPr>
                <w:rFonts w:hint="eastAsia"/>
                <w:sz w:val="28"/>
                <w:szCs w:val="28"/>
              </w:rPr>
              <w:t>事发单位</w:t>
            </w:r>
          </w:p>
        </w:tc>
        <w:tc>
          <w:tcPr>
            <w:tcW w:w="1177" w:type="dxa"/>
          </w:tcPr>
          <w:p w:rsidR="008A34DF" w:rsidRDefault="00C20EBA">
            <w:pPr>
              <w:jc w:val="center"/>
              <w:rPr>
                <w:sz w:val="28"/>
                <w:szCs w:val="28"/>
              </w:rPr>
            </w:pPr>
            <w:r>
              <w:rPr>
                <w:rFonts w:hint="eastAsia"/>
                <w:sz w:val="28"/>
                <w:szCs w:val="28"/>
              </w:rPr>
              <w:t>持有人</w:t>
            </w:r>
          </w:p>
        </w:tc>
        <w:tc>
          <w:tcPr>
            <w:tcW w:w="1396" w:type="dxa"/>
          </w:tcPr>
          <w:p w:rsidR="008A34DF" w:rsidRDefault="00C20EBA">
            <w:pPr>
              <w:jc w:val="center"/>
              <w:rPr>
                <w:sz w:val="28"/>
                <w:szCs w:val="28"/>
              </w:rPr>
            </w:pPr>
            <w:r>
              <w:rPr>
                <w:rFonts w:hint="eastAsia"/>
                <w:sz w:val="28"/>
                <w:szCs w:val="28"/>
              </w:rPr>
              <w:t>产品名称</w:t>
            </w:r>
          </w:p>
        </w:tc>
        <w:tc>
          <w:tcPr>
            <w:tcW w:w="1915" w:type="dxa"/>
          </w:tcPr>
          <w:p w:rsidR="008A34DF" w:rsidRDefault="00C20EBA">
            <w:pPr>
              <w:jc w:val="center"/>
              <w:rPr>
                <w:sz w:val="28"/>
                <w:szCs w:val="28"/>
              </w:rPr>
            </w:pPr>
            <w:r>
              <w:rPr>
                <w:rFonts w:hint="eastAsia"/>
                <w:sz w:val="28"/>
                <w:szCs w:val="28"/>
              </w:rPr>
              <w:t>产品注册证号</w:t>
            </w:r>
          </w:p>
        </w:tc>
        <w:tc>
          <w:tcPr>
            <w:tcW w:w="1897" w:type="dxa"/>
          </w:tcPr>
          <w:p w:rsidR="008A34DF" w:rsidRDefault="00C20EBA">
            <w:pPr>
              <w:jc w:val="center"/>
              <w:rPr>
                <w:sz w:val="28"/>
                <w:szCs w:val="28"/>
              </w:rPr>
            </w:pPr>
            <w:r>
              <w:rPr>
                <w:rFonts w:hint="eastAsia"/>
                <w:sz w:val="28"/>
                <w:szCs w:val="28"/>
              </w:rPr>
              <w:t>信号基本情况</w:t>
            </w:r>
          </w:p>
        </w:tc>
        <w:tc>
          <w:tcPr>
            <w:tcW w:w="1506" w:type="dxa"/>
          </w:tcPr>
          <w:p w:rsidR="008A34DF" w:rsidRDefault="00C20EBA">
            <w:pPr>
              <w:jc w:val="center"/>
              <w:rPr>
                <w:sz w:val="28"/>
                <w:szCs w:val="28"/>
              </w:rPr>
            </w:pPr>
            <w:r>
              <w:rPr>
                <w:rFonts w:hint="eastAsia"/>
                <w:sz w:val="28"/>
                <w:szCs w:val="28"/>
              </w:rPr>
              <w:t>处置情况</w:t>
            </w:r>
          </w:p>
        </w:tc>
      </w:tr>
      <w:tr w:rsidR="008A34DF">
        <w:trPr>
          <w:trHeight w:val="570"/>
        </w:trPr>
        <w:tc>
          <w:tcPr>
            <w:tcW w:w="1415" w:type="dxa"/>
          </w:tcPr>
          <w:p w:rsidR="008A34DF" w:rsidRDefault="008A34DF">
            <w:pPr>
              <w:jc w:val="center"/>
              <w:rPr>
                <w:sz w:val="28"/>
                <w:szCs w:val="28"/>
              </w:rPr>
            </w:pPr>
          </w:p>
        </w:tc>
        <w:tc>
          <w:tcPr>
            <w:tcW w:w="1385" w:type="dxa"/>
          </w:tcPr>
          <w:p w:rsidR="008A34DF" w:rsidRDefault="008A34DF">
            <w:pPr>
              <w:jc w:val="center"/>
              <w:rPr>
                <w:sz w:val="28"/>
                <w:szCs w:val="28"/>
              </w:rPr>
            </w:pPr>
          </w:p>
        </w:tc>
        <w:tc>
          <w:tcPr>
            <w:tcW w:w="1454" w:type="dxa"/>
          </w:tcPr>
          <w:p w:rsidR="008A34DF" w:rsidRDefault="008A34DF">
            <w:pPr>
              <w:jc w:val="center"/>
              <w:rPr>
                <w:sz w:val="28"/>
                <w:szCs w:val="28"/>
              </w:rPr>
            </w:pPr>
          </w:p>
        </w:tc>
        <w:tc>
          <w:tcPr>
            <w:tcW w:w="1408" w:type="dxa"/>
          </w:tcPr>
          <w:p w:rsidR="008A34DF" w:rsidRDefault="008A34DF">
            <w:pPr>
              <w:jc w:val="center"/>
              <w:rPr>
                <w:sz w:val="28"/>
                <w:szCs w:val="28"/>
              </w:rPr>
            </w:pPr>
          </w:p>
        </w:tc>
        <w:tc>
          <w:tcPr>
            <w:tcW w:w="1177" w:type="dxa"/>
          </w:tcPr>
          <w:p w:rsidR="008A34DF" w:rsidRDefault="008A34DF">
            <w:pPr>
              <w:jc w:val="center"/>
              <w:rPr>
                <w:sz w:val="28"/>
                <w:szCs w:val="28"/>
              </w:rPr>
            </w:pPr>
          </w:p>
        </w:tc>
        <w:tc>
          <w:tcPr>
            <w:tcW w:w="1396" w:type="dxa"/>
          </w:tcPr>
          <w:p w:rsidR="008A34DF" w:rsidRDefault="008A34DF">
            <w:pPr>
              <w:jc w:val="center"/>
              <w:rPr>
                <w:sz w:val="28"/>
                <w:szCs w:val="28"/>
              </w:rPr>
            </w:pPr>
          </w:p>
        </w:tc>
        <w:tc>
          <w:tcPr>
            <w:tcW w:w="1915" w:type="dxa"/>
          </w:tcPr>
          <w:p w:rsidR="008A34DF" w:rsidRDefault="008A34DF">
            <w:pPr>
              <w:jc w:val="center"/>
              <w:rPr>
                <w:sz w:val="28"/>
                <w:szCs w:val="28"/>
              </w:rPr>
            </w:pPr>
          </w:p>
        </w:tc>
        <w:tc>
          <w:tcPr>
            <w:tcW w:w="1897" w:type="dxa"/>
          </w:tcPr>
          <w:p w:rsidR="008A34DF" w:rsidRDefault="008A34DF">
            <w:pPr>
              <w:jc w:val="center"/>
              <w:rPr>
                <w:sz w:val="28"/>
                <w:szCs w:val="28"/>
              </w:rPr>
            </w:pPr>
          </w:p>
        </w:tc>
        <w:tc>
          <w:tcPr>
            <w:tcW w:w="1506" w:type="dxa"/>
          </w:tcPr>
          <w:p w:rsidR="008A34DF" w:rsidRDefault="008A34DF">
            <w:pPr>
              <w:jc w:val="center"/>
              <w:rPr>
                <w:sz w:val="28"/>
                <w:szCs w:val="28"/>
              </w:rPr>
            </w:pPr>
          </w:p>
        </w:tc>
      </w:tr>
      <w:tr w:rsidR="008A34DF">
        <w:trPr>
          <w:trHeight w:val="570"/>
        </w:trPr>
        <w:tc>
          <w:tcPr>
            <w:tcW w:w="1415" w:type="dxa"/>
          </w:tcPr>
          <w:p w:rsidR="008A34DF" w:rsidRDefault="008A34DF">
            <w:pPr>
              <w:jc w:val="center"/>
              <w:rPr>
                <w:sz w:val="28"/>
                <w:szCs w:val="28"/>
              </w:rPr>
            </w:pPr>
          </w:p>
        </w:tc>
        <w:tc>
          <w:tcPr>
            <w:tcW w:w="1385" w:type="dxa"/>
          </w:tcPr>
          <w:p w:rsidR="008A34DF" w:rsidRDefault="008A34DF">
            <w:pPr>
              <w:jc w:val="center"/>
              <w:rPr>
                <w:sz w:val="28"/>
                <w:szCs w:val="28"/>
              </w:rPr>
            </w:pPr>
          </w:p>
        </w:tc>
        <w:tc>
          <w:tcPr>
            <w:tcW w:w="1454" w:type="dxa"/>
          </w:tcPr>
          <w:p w:rsidR="008A34DF" w:rsidRDefault="008A34DF">
            <w:pPr>
              <w:jc w:val="center"/>
              <w:rPr>
                <w:sz w:val="28"/>
                <w:szCs w:val="28"/>
              </w:rPr>
            </w:pPr>
          </w:p>
        </w:tc>
        <w:tc>
          <w:tcPr>
            <w:tcW w:w="1408" w:type="dxa"/>
          </w:tcPr>
          <w:p w:rsidR="008A34DF" w:rsidRDefault="008A34DF">
            <w:pPr>
              <w:jc w:val="center"/>
              <w:rPr>
                <w:sz w:val="28"/>
                <w:szCs w:val="28"/>
              </w:rPr>
            </w:pPr>
          </w:p>
        </w:tc>
        <w:tc>
          <w:tcPr>
            <w:tcW w:w="1177" w:type="dxa"/>
          </w:tcPr>
          <w:p w:rsidR="008A34DF" w:rsidRDefault="008A34DF">
            <w:pPr>
              <w:jc w:val="center"/>
              <w:rPr>
                <w:sz w:val="28"/>
                <w:szCs w:val="28"/>
              </w:rPr>
            </w:pPr>
          </w:p>
        </w:tc>
        <w:tc>
          <w:tcPr>
            <w:tcW w:w="1396" w:type="dxa"/>
          </w:tcPr>
          <w:p w:rsidR="008A34DF" w:rsidRDefault="008A34DF">
            <w:pPr>
              <w:jc w:val="center"/>
              <w:rPr>
                <w:sz w:val="28"/>
                <w:szCs w:val="28"/>
              </w:rPr>
            </w:pPr>
          </w:p>
        </w:tc>
        <w:tc>
          <w:tcPr>
            <w:tcW w:w="1915" w:type="dxa"/>
          </w:tcPr>
          <w:p w:rsidR="008A34DF" w:rsidRDefault="008A34DF">
            <w:pPr>
              <w:jc w:val="center"/>
              <w:rPr>
                <w:sz w:val="28"/>
                <w:szCs w:val="28"/>
              </w:rPr>
            </w:pPr>
          </w:p>
        </w:tc>
        <w:tc>
          <w:tcPr>
            <w:tcW w:w="1897" w:type="dxa"/>
          </w:tcPr>
          <w:p w:rsidR="008A34DF" w:rsidRDefault="008A34DF">
            <w:pPr>
              <w:jc w:val="center"/>
              <w:rPr>
                <w:sz w:val="28"/>
                <w:szCs w:val="28"/>
              </w:rPr>
            </w:pPr>
          </w:p>
        </w:tc>
        <w:tc>
          <w:tcPr>
            <w:tcW w:w="1506" w:type="dxa"/>
          </w:tcPr>
          <w:p w:rsidR="008A34DF" w:rsidRDefault="008A34DF">
            <w:pPr>
              <w:jc w:val="center"/>
              <w:rPr>
                <w:sz w:val="28"/>
                <w:szCs w:val="28"/>
              </w:rPr>
            </w:pPr>
          </w:p>
        </w:tc>
      </w:tr>
      <w:tr w:rsidR="008A34DF">
        <w:trPr>
          <w:trHeight w:val="579"/>
        </w:trPr>
        <w:tc>
          <w:tcPr>
            <w:tcW w:w="1415" w:type="dxa"/>
          </w:tcPr>
          <w:p w:rsidR="008A34DF" w:rsidRDefault="008A34DF">
            <w:pPr>
              <w:jc w:val="center"/>
              <w:rPr>
                <w:sz w:val="28"/>
                <w:szCs w:val="28"/>
              </w:rPr>
            </w:pPr>
          </w:p>
        </w:tc>
        <w:tc>
          <w:tcPr>
            <w:tcW w:w="1385" w:type="dxa"/>
          </w:tcPr>
          <w:p w:rsidR="008A34DF" w:rsidRDefault="008A34DF">
            <w:pPr>
              <w:jc w:val="center"/>
              <w:rPr>
                <w:sz w:val="28"/>
                <w:szCs w:val="28"/>
              </w:rPr>
            </w:pPr>
          </w:p>
        </w:tc>
        <w:tc>
          <w:tcPr>
            <w:tcW w:w="1454" w:type="dxa"/>
          </w:tcPr>
          <w:p w:rsidR="008A34DF" w:rsidRDefault="008A34DF">
            <w:pPr>
              <w:jc w:val="center"/>
              <w:rPr>
                <w:sz w:val="28"/>
                <w:szCs w:val="28"/>
              </w:rPr>
            </w:pPr>
          </w:p>
        </w:tc>
        <w:tc>
          <w:tcPr>
            <w:tcW w:w="1408" w:type="dxa"/>
          </w:tcPr>
          <w:p w:rsidR="008A34DF" w:rsidRDefault="008A34DF">
            <w:pPr>
              <w:jc w:val="center"/>
              <w:rPr>
                <w:sz w:val="28"/>
                <w:szCs w:val="28"/>
              </w:rPr>
            </w:pPr>
          </w:p>
        </w:tc>
        <w:tc>
          <w:tcPr>
            <w:tcW w:w="1177" w:type="dxa"/>
          </w:tcPr>
          <w:p w:rsidR="008A34DF" w:rsidRDefault="008A34DF">
            <w:pPr>
              <w:jc w:val="center"/>
              <w:rPr>
                <w:sz w:val="28"/>
                <w:szCs w:val="28"/>
              </w:rPr>
            </w:pPr>
          </w:p>
        </w:tc>
        <w:tc>
          <w:tcPr>
            <w:tcW w:w="1396" w:type="dxa"/>
          </w:tcPr>
          <w:p w:rsidR="008A34DF" w:rsidRDefault="008A34DF">
            <w:pPr>
              <w:jc w:val="center"/>
              <w:rPr>
                <w:sz w:val="28"/>
                <w:szCs w:val="28"/>
              </w:rPr>
            </w:pPr>
          </w:p>
        </w:tc>
        <w:tc>
          <w:tcPr>
            <w:tcW w:w="1915" w:type="dxa"/>
          </w:tcPr>
          <w:p w:rsidR="008A34DF" w:rsidRDefault="008A34DF">
            <w:pPr>
              <w:jc w:val="center"/>
              <w:rPr>
                <w:sz w:val="28"/>
                <w:szCs w:val="28"/>
              </w:rPr>
            </w:pPr>
          </w:p>
        </w:tc>
        <w:tc>
          <w:tcPr>
            <w:tcW w:w="1897" w:type="dxa"/>
          </w:tcPr>
          <w:p w:rsidR="008A34DF" w:rsidRDefault="008A34DF">
            <w:pPr>
              <w:jc w:val="center"/>
              <w:rPr>
                <w:sz w:val="28"/>
                <w:szCs w:val="28"/>
              </w:rPr>
            </w:pPr>
          </w:p>
        </w:tc>
        <w:tc>
          <w:tcPr>
            <w:tcW w:w="1506" w:type="dxa"/>
          </w:tcPr>
          <w:p w:rsidR="008A34DF" w:rsidRDefault="008A34DF">
            <w:pPr>
              <w:jc w:val="center"/>
              <w:rPr>
                <w:sz w:val="28"/>
                <w:szCs w:val="28"/>
              </w:rPr>
            </w:pPr>
          </w:p>
        </w:tc>
      </w:tr>
    </w:tbl>
    <w:p w:rsidR="008A34DF" w:rsidRDefault="008A34DF">
      <w:pPr>
        <w:ind w:firstLineChars="200" w:firstLine="560"/>
        <w:jc w:val="center"/>
        <w:rPr>
          <w:sz w:val="28"/>
          <w:szCs w:val="28"/>
        </w:rPr>
      </w:pPr>
    </w:p>
    <w:p w:rsidR="008A34DF" w:rsidRDefault="008A34DF">
      <w:pPr>
        <w:ind w:firstLineChars="200" w:firstLine="560"/>
        <w:rPr>
          <w:sz w:val="28"/>
          <w:szCs w:val="28"/>
        </w:rPr>
      </w:pPr>
    </w:p>
    <w:p w:rsidR="008A34DF" w:rsidRDefault="008A34DF">
      <w:pPr>
        <w:ind w:firstLineChars="200" w:firstLine="420"/>
        <w:rPr>
          <w:szCs w:val="21"/>
        </w:rPr>
      </w:pPr>
    </w:p>
    <w:sectPr w:rsidR="008A34DF" w:rsidSect="008A34DF">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914" w:rsidRDefault="000E3914" w:rsidP="00BC4A80">
      <w:r>
        <w:separator/>
      </w:r>
    </w:p>
  </w:endnote>
  <w:endnote w:type="continuationSeparator" w:id="1">
    <w:p w:rsidR="000E3914" w:rsidRDefault="000E3914" w:rsidP="00BC4A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创艺简标宋">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914" w:rsidRDefault="000E3914" w:rsidP="00BC4A80">
      <w:r>
        <w:separator/>
      </w:r>
    </w:p>
  </w:footnote>
  <w:footnote w:type="continuationSeparator" w:id="1">
    <w:p w:rsidR="000E3914" w:rsidRDefault="000E3914" w:rsidP="00BC4A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2A2E4"/>
    <w:multiLevelType w:val="singleLevel"/>
    <w:tmpl w:val="60A2A2E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22FA"/>
    <w:rsid w:val="00007E07"/>
    <w:rsid w:val="00024E9F"/>
    <w:rsid w:val="0003486F"/>
    <w:rsid w:val="00044E2D"/>
    <w:rsid w:val="0007394C"/>
    <w:rsid w:val="00094082"/>
    <w:rsid w:val="00096517"/>
    <w:rsid w:val="000E21B4"/>
    <w:rsid w:val="000E3914"/>
    <w:rsid w:val="000E5D41"/>
    <w:rsid w:val="00111BB6"/>
    <w:rsid w:val="00195CBE"/>
    <w:rsid w:val="00207016"/>
    <w:rsid w:val="00223A6F"/>
    <w:rsid w:val="00227B64"/>
    <w:rsid w:val="0027000A"/>
    <w:rsid w:val="00294D1B"/>
    <w:rsid w:val="002B5C02"/>
    <w:rsid w:val="002D6D9F"/>
    <w:rsid w:val="002F492A"/>
    <w:rsid w:val="002F5A94"/>
    <w:rsid w:val="003230D6"/>
    <w:rsid w:val="00340EDF"/>
    <w:rsid w:val="0034626D"/>
    <w:rsid w:val="003843DC"/>
    <w:rsid w:val="003E1BDC"/>
    <w:rsid w:val="00420A34"/>
    <w:rsid w:val="0044115B"/>
    <w:rsid w:val="00442117"/>
    <w:rsid w:val="004466DE"/>
    <w:rsid w:val="0045050F"/>
    <w:rsid w:val="004B3E51"/>
    <w:rsid w:val="004B7D0E"/>
    <w:rsid w:val="004D2E07"/>
    <w:rsid w:val="005108CB"/>
    <w:rsid w:val="005573A0"/>
    <w:rsid w:val="00561DA7"/>
    <w:rsid w:val="00587C53"/>
    <w:rsid w:val="00591181"/>
    <w:rsid w:val="00595518"/>
    <w:rsid w:val="005A38F6"/>
    <w:rsid w:val="005D0035"/>
    <w:rsid w:val="005D1122"/>
    <w:rsid w:val="005E5E35"/>
    <w:rsid w:val="00600092"/>
    <w:rsid w:val="00604F08"/>
    <w:rsid w:val="00606A9B"/>
    <w:rsid w:val="00641F2A"/>
    <w:rsid w:val="0068578C"/>
    <w:rsid w:val="006E54BB"/>
    <w:rsid w:val="006F40A2"/>
    <w:rsid w:val="00700D59"/>
    <w:rsid w:val="0072718C"/>
    <w:rsid w:val="00733DB4"/>
    <w:rsid w:val="00747654"/>
    <w:rsid w:val="007D37E9"/>
    <w:rsid w:val="007F6C6F"/>
    <w:rsid w:val="00817639"/>
    <w:rsid w:val="008431E5"/>
    <w:rsid w:val="00862C10"/>
    <w:rsid w:val="00882219"/>
    <w:rsid w:val="008A34DF"/>
    <w:rsid w:val="008A3DA9"/>
    <w:rsid w:val="008C3596"/>
    <w:rsid w:val="008D0B35"/>
    <w:rsid w:val="008E3C19"/>
    <w:rsid w:val="008F6690"/>
    <w:rsid w:val="0090563F"/>
    <w:rsid w:val="009157AE"/>
    <w:rsid w:val="00925B7D"/>
    <w:rsid w:val="00931C35"/>
    <w:rsid w:val="009406A8"/>
    <w:rsid w:val="0094375C"/>
    <w:rsid w:val="00995A1F"/>
    <w:rsid w:val="009E437D"/>
    <w:rsid w:val="00A11633"/>
    <w:rsid w:val="00A16D24"/>
    <w:rsid w:val="00A3529B"/>
    <w:rsid w:val="00AA1D5F"/>
    <w:rsid w:val="00AF5192"/>
    <w:rsid w:val="00B6227B"/>
    <w:rsid w:val="00B72673"/>
    <w:rsid w:val="00B911CE"/>
    <w:rsid w:val="00B9766D"/>
    <w:rsid w:val="00BC4A80"/>
    <w:rsid w:val="00BE740A"/>
    <w:rsid w:val="00BF0636"/>
    <w:rsid w:val="00C03A61"/>
    <w:rsid w:val="00C04E9F"/>
    <w:rsid w:val="00C20EBA"/>
    <w:rsid w:val="00C562CC"/>
    <w:rsid w:val="00C672FB"/>
    <w:rsid w:val="00CD22FA"/>
    <w:rsid w:val="00CF3EC4"/>
    <w:rsid w:val="00D115BB"/>
    <w:rsid w:val="00D64808"/>
    <w:rsid w:val="00D74C2D"/>
    <w:rsid w:val="00D93A22"/>
    <w:rsid w:val="00DA6584"/>
    <w:rsid w:val="00DB44B7"/>
    <w:rsid w:val="00E23060"/>
    <w:rsid w:val="00E812A0"/>
    <w:rsid w:val="00EA5B51"/>
    <w:rsid w:val="00EC2692"/>
    <w:rsid w:val="00EF3B46"/>
    <w:rsid w:val="00F27441"/>
    <w:rsid w:val="00F431B9"/>
    <w:rsid w:val="00F55748"/>
    <w:rsid w:val="00F61727"/>
    <w:rsid w:val="00F65636"/>
    <w:rsid w:val="00F83315"/>
    <w:rsid w:val="0183453D"/>
    <w:rsid w:val="01C733F4"/>
    <w:rsid w:val="01E343C4"/>
    <w:rsid w:val="01E76060"/>
    <w:rsid w:val="020E2058"/>
    <w:rsid w:val="02203B3A"/>
    <w:rsid w:val="02894DE0"/>
    <w:rsid w:val="02C848FD"/>
    <w:rsid w:val="02C95F7F"/>
    <w:rsid w:val="02CF78BB"/>
    <w:rsid w:val="03261624"/>
    <w:rsid w:val="038B6493"/>
    <w:rsid w:val="04114082"/>
    <w:rsid w:val="048900BC"/>
    <w:rsid w:val="04BF588C"/>
    <w:rsid w:val="04F35535"/>
    <w:rsid w:val="052676B9"/>
    <w:rsid w:val="05323C89"/>
    <w:rsid w:val="05826A13"/>
    <w:rsid w:val="05AB043B"/>
    <w:rsid w:val="05CF7D50"/>
    <w:rsid w:val="060C68AF"/>
    <w:rsid w:val="0662141B"/>
    <w:rsid w:val="067A4160"/>
    <w:rsid w:val="06874187"/>
    <w:rsid w:val="068D159D"/>
    <w:rsid w:val="06976844"/>
    <w:rsid w:val="06A719C1"/>
    <w:rsid w:val="06AB256C"/>
    <w:rsid w:val="06DD024B"/>
    <w:rsid w:val="07133C6D"/>
    <w:rsid w:val="073A32FC"/>
    <w:rsid w:val="07F14F1D"/>
    <w:rsid w:val="081C41DA"/>
    <w:rsid w:val="08362149"/>
    <w:rsid w:val="08386081"/>
    <w:rsid w:val="08395955"/>
    <w:rsid w:val="088A5722"/>
    <w:rsid w:val="08B57A15"/>
    <w:rsid w:val="08F301FA"/>
    <w:rsid w:val="09173EE8"/>
    <w:rsid w:val="09C13475"/>
    <w:rsid w:val="09F90F17"/>
    <w:rsid w:val="0A017B74"/>
    <w:rsid w:val="0A3A3D1B"/>
    <w:rsid w:val="0A551F4C"/>
    <w:rsid w:val="0A6A0048"/>
    <w:rsid w:val="0ADB0F46"/>
    <w:rsid w:val="0AEF535D"/>
    <w:rsid w:val="0B006F0E"/>
    <w:rsid w:val="0B0F01F5"/>
    <w:rsid w:val="0B116D21"/>
    <w:rsid w:val="0B7D1FFD"/>
    <w:rsid w:val="0BE856C8"/>
    <w:rsid w:val="0C303C8C"/>
    <w:rsid w:val="0CC361A9"/>
    <w:rsid w:val="0CD12600"/>
    <w:rsid w:val="0D3B3F1D"/>
    <w:rsid w:val="0D6C56B8"/>
    <w:rsid w:val="0DB53CD0"/>
    <w:rsid w:val="0DCD365A"/>
    <w:rsid w:val="0E4A4418"/>
    <w:rsid w:val="0E542D5E"/>
    <w:rsid w:val="0E7D692A"/>
    <w:rsid w:val="0E903615"/>
    <w:rsid w:val="0E9D6C3E"/>
    <w:rsid w:val="0F2C1D70"/>
    <w:rsid w:val="0FE12B5A"/>
    <w:rsid w:val="0FF82460"/>
    <w:rsid w:val="10EC7BD7"/>
    <w:rsid w:val="1173012A"/>
    <w:rsid w:val="11D32976"/>
    <w:rsid w:val="11ED5CE9"/>
    <w:rsid w:val="12736E94"/>
    <w:rsid w:val="12E71127"/>
    <w:rsid w:val="1329102B"/>
    <w:rsid w:val="134022E4"/>
    <w:rsid w:val="134505B1"/>
    <w:rsid w:val="139D445C"/>
    <w:rsid w:val="13A62F47"/>
    <w:rsid w:val="13D96CE3"/>
    <w:rsid w:val="13EE60D1"/>
    <w:rsid w:val="13EF6631"/>
    <w:rsid w:val="143C2F7F"/>
    <w:rsid w:val="149D16A7"/>
    <w:rsid w:val="14E25664"/>
    <w:rsid w:val="14EB7FD7"/>
    <w:rsid w:val="15064E11"/>
    <w:rsid w:val="152E2FAA"/>
    <w:rsid w:val="1554129F"/>
    <w:rsid w:val="15877D00"/>
    <w:rsid w:val="15A05265"/>
    <w:rsid w:val="161812A0"/>
    <w:rsid w:val="16537551"/>
    <w:rsid w:val="167A7865"/>
    <w:rsid w:val="169A1795"/>
    <w:rsid w:val="16A02BC4"/>
    <w:rsid w:val="16BE1E47"/>
    <w:rsid w:val="16BF34C9"/>
    <w:rsid w:val="16DD32EA"/>
    <w:rsid w:val="16F51CB1"/>
    <w:rsid w:val="170851D2"/>
    <w:rsid w:val="17571954"/>
    <w:rsid w:val="179923F6"/>
    <w:rsid w:val="17B648CC"/>
    <w:rsid w:val="17F71D92"/>
    <w:rsid w:val="185A794E"/>
    <w:rsid w:val="18660246"/>
    <w:rsid w:val="186B1B5B"/>
    <w:rsid w:val="18711E44"/>
    <w:rsid w:val="18AF37B0"/>
    <w:rsid w:val="18BA663E"/>
    <w:rsid w:val="197B59CD"/>
    <w:rsid w:val="19F618F8"/>
    <w:rsid w:val="1A15511C"/>
    <w:rsid w:val="1AA94BBC"/>
    <w:rsid w:val="1ABA0B77"/>
    <w:rsid w:val="1AD324ED"/>
    <w:rsid w:val="1AF5627F"/>
    <w:rsid w:val="1B4346C9"/>
    <w:rsid w:val="1B9D43A7"/>
    <w:rsid w:val="1BA77ADC"/>
    <w:rsid w:val="1BAF4C56"/>
    <w:rsid w:val="1C1556FD"/>
    <w:rsid w:val="1CBB2985"/>
    <w:rsid w:val="1CF42382"/>
    <w:rsid w:val="1D1A6E90"/>
    <w:rsid w:val="1D2B18B9"/>
    <w:rsid w:val="1D3A2855"/>
    <w:rsid w:val="1DB21FDA"/>
    <w:rsid w:val="1DF65E6A"/>
    <w:rsid w:val="1E0A37FC"/>
    <w:rsid w:val="1E2F53D8"/>
    <w:rsid w:val="1E5624B6"/>
    <w:rsid w:val="1EA062D6"/>
    <w:rsid w:val="1EC11A4F"/>
    <w:rsid w:val="1F5C044F"/>
    <w:rsid w:val="1F9E45C4"/>
    <w:rsid w:val="20554CEF"/>
    <w:rsid w:val="205D622D"/>
    <w:rsid w:val="20F611CC"/>
    <w:rsid w:val="215F5FD5"/>
    <w:rsid w:val="21B06830"/>
    <w:rsid w:val="221C5C74"/>
    <w:rsid w:val="223E0010"/>
    <w:rsid w:val="22EA5CE4"/>
    <w:rsid w:val="236E0751"/>
    <w:rsid w:val="24005FE0"/>
    <w:rsid w:val="24A20551"/>
    <w:rsid w:val="2591155E"/>
    <w:rsid w:val="25C74149"/>
    <w:rsid w:val="25F203BA"/>
    <w:rsid w:val="26133B54"/>
    <w:rsid w:val="264439EB"/>
    <w:rsid w:val="26B26BA7"/>
    <w:rsid w:val="26D64C7B"/>
    <w:rsid w:val="26FC6074"/>
    <w:rsid w:val="26FF54EA"/>
    <w:rsid w:val="274C29DB"/>
    <w:rsid w:val="275E47B2"/>
    <w:rsid w:val="279462AC"/>
    <w:rsid w:val="27A7390C"/>
    <w:rsid w:val="27B70919"/>
    <w:rsid w:val="281F3249"/>
    <w:rsid w:val="284657F9"/>
    <w:rsid w:val="28724840"/>
    <w:rsid w:val="28A16ED3"/>
    <w:rsid w:val="297033D4"/>
    <w:rsid w:val="297D524A"/>
    <w:rsid w:val="2ACE26DF"/>
    <w:rsid w:val="2AD40CE6"/>
    <w:rsid w:val="2C655F30"/>
    <w:rsid w:val="2C855802"/>
    <w:rsid w:val="2CC7628D"/>
    <w:rsid w:val="2CC87124"/>
    <w:rsid w:val="2CD74080"/>
    <w:rsid w:val="2CE7356C"/>
    <w:rsid w:val="2D016192"/>
    <w:rsid w:val="2E911D0D"/>
    <w:rsid w:val="2EEB60EF"/>
    <w:rsid w:val="2FA86D99"/>
    <w:rsid w:val="2FAA2B11"/>
    <w:rsid w:val="2FD858D0"/>
    <w:rsid w:val="30785DD0"/>
    <w:rsid w:val="308F7E72"/>
    <w:rsid w:val="30C13DA9"/>
    <w:rsid w:val="30C450A0"/>
    <w:rsid w:val="30E67B79"/>
    <w:rsid w:val="30F954C5"/>
    <w:rsid w:val="3106021B"/>
    <w:rsid w:val="312065C9"/>
    <w:rsid w:val="318C5799"/>
    <w:rsid w:val="319C5213"/>
    <w:rsid w:val="32627278"/>
    <w:rsid w:val="32981347"/>
    <w:rsid w:val="32C87853"/>
    <w:rsid w:val="333252F7"/>
    <w:rsid w:val="33934ADE"/>
    <w:rsid w:val="33C128CA"/>
    <w:rsid w:val="33D17501"/>
    <w:rsid w:val="34030A42"/>
    <w:rsid w:val="35CE2414"/>
    <w:rsid w:val="366C0B20"/>
    <w:rsid w:val="36795EFE"/>
    <w:rsid w:val="36A95955"/>
    <w:rsid w:val="36E83F1F"/>
    <w:rsid w:val="371C5729"/>
    <w:rsid w:val="373730ED"/>
    <w:rsid w:val="37384EA6"/>
    <w:rsid w:val="3741405B"/>
    <w:rsid w:val="378620B5"/>
    <w:rsid w:val="37BF2769"/>
    <w:rsid w:val="37ED7A3F"/>
    <w:rsid w:val="388D4D7E"/>
    <w:rsid w:val="389E08A7"/>
    <w:rsid w:val="38E452E6"/>
    <w:rsid w:val="38F05B41"/>
    <w:rsid w:val="38FE15DF"/>
    <w:rsid w:val="39076AFD"/>
    <w:rsid w:val="390A2872"/>
    <w:rsid w:val="392F49BA"/>
    <w:rsid w:val="39693A3D"/>
    <w:rsid w:val="39873EC3"/>
    <w:rsid w:val="39B06F76"/>
    <w:rsid w:val="3A0A4728"/>
    <w:rsid w:val="3A0E7A57"/>
    <w:rsid w:val="3A3A5994"/>
    <w:rsid w:val="3AB64A60"/>
    <w:rsid w:val="3AED7D56"/>
    <w:rsid w:val="3B3077EE"/>
    <w:rsid w:val="3B546400"/>
    <w:rsid w:val="3B7566C9"/>
    <w:rsid w:val="3B944428"/>
    <w:rsid w:val="3C326D8D"/>
    <w:rsid w:val="3C7945E5"/>
    <w:rsid w:val="3C8E2C30"/>
    <w:rsid w:val="3C983CE2"/>
    <w:rsid w:val="3CF17FD1"/>
    <w:rsid w:val="3D2D1E01"/>
    <w:rsid w:val="3D54230E"/>
    <w:rsid w:val="3D5C3F5E"/>
    <w:rsid w:val="3DA22197"/>
    <w:rsid w:val="3DA24BB0"/>
    <w:rsid w:val="3E2B306F"/>
    <w:rsid w:val="3E88226F"/>
    <w:rsid w:val="3EB87CB2"/>
    <w:rsid w:val="3EE17BD1"/>
    <w:rsid w:val="3EE84AE4"/>
    <w:rsid w:val="3F073ADC"/>
    <w:rsid w:val="3F32746F"/>
    <w:rsid w:val="3F4432E5"/>
    <w:rsid w:val="3F536366"/>
    <w:rsid w:val="3FE725EB"/>
    <w:rsid w:val="407C22A8"/>
    <w:rsid w:val="40D7128C"/>
    <w:rsid w:val="40E83499"/>
    <w:rsid w:val="418222D4"/>
    <w:rsid w:val="41B77431"/>
    <w:rsid w:val="41FD7FC9"/>
    <w:rsid w:val="4226071D"/>
    <w:rsid w:val="42402569"/>
    <w:rsid w:val="428E1E1E"/>
    <w:rsid w:val="42904BBA"/>
    <w:rsid w:val="42AB29D0"/>
    <w:rsid w:val="42B21F0C"/>
    <w:rsid w:val="42D068DB"/>
    <w:rsid w:val="42D261AF"/>
    <w:rsid w:val="43135068"/>
    <w:rsid w:val="434E7CF8"/>
    <w:rsid w:val="43C024AB"/>
    <w:rsid w:val="43F73652"/>
    <w:rsid w:val="43FF1225"/>
    <w:rsid w:val="443F5AC6"/>
    <w:rsid w:val="44A43B7B"/>
    <w:rsid w:val="44CE6E4A"/>
    <w:rsid w:val="44FE772F"/>
    <w:rsid w:val="454964D0"/>
    <w:rsid w:val="45A2210C"/>
    <w:rsid w:val="45AD6A5F"/>
    <w:rsid w:val="45C75D73"/>
    <w:rsid w:val="45CE5353"/>
    <w:rsid w:val="46027B5A"/>
    <w:rsid w:val="462F1E07"/>
    <w:rsid w:val="463D4287"/>
    <w:rsid w:val="469D3E1E"/>
    <w:rsid w:val="471020BE"/>
    <w:rsid w:val="474D629F"/>
    <w:rsid w:val="475023CB"/>
    <w:rsid w:val="47C87B80"/>
    <w:rsid w:val="480B08CA"/>
    <w:rsid w:val="485A0F31"/>
    <w:rsid w:val="48BC0F5F"/>
    <w:rsid w:val="48C22822"/>
    <w:rsid w:val="49046564"/>
    <w:rsid w:val="49372DE2"/>
    <w:rsid w:val="496B398E"/>
    <w:rsid w:val="49B54134"/>
    <w:rsid w:val="4A054DD0"/>
    <w:rsid w:val="4A873D23"/>
    <w:rsid w:val="4AA30431"/>
    <w:rsid w:val="4AAC5AF6"/>
    <w:rsid w:val="4AB3728A"/>
    <w:rsid w:val="4ADD3943"/>
    <w:rsid w:val="4B5C17F2"/>
    <w:rsid w:val="4B6E4EE3"/>
    <w:rsid w:val="4BCB0BD1"/>
    <w:rsid w:val="4BE450F6"/>
    <w:rsid w:val="4BF47872"/>
    <w:rsid w:val="4C2A705C"/>
    <w:rsid w:val="4C327624"/>
    <w:rsid w:val="4C804CE6"/>
    <w:rsid w:val="4CBD7ED0"/>
    <w:rsid w:val="4CD15729"/>
    <w:rsid w:val="4D2B228A"/>
    <w:rsid w:val="4DBE4F9A"/>
    <w:rsid w:val="4E7E543D"/>
    <w:rsid w:val="4EAC1FAA"/>
    <w:rsid w:val="4EE5726A"/>
    <w:rsid w:val="4F2E6E63"/>
    <w:rsid w:val="4F6603AB"/>
    <w:rsid w:val="4F83572F"/>
    <w:rsid w:val="4FB37368"/>
    <w:rsid w:val="4FCD667C"/>
    <w:rsid w:val="506B06CD"/>
    <w:rsid w:val="508B5BEF"/>
    <w:rsid w:val="50CD6207"/>
    <w:rsid w:val="511A58F1"/>
    <w:rsid w:val="51BC0756"/>
    <w:rsid w:val="51BD242C"/>
    <w:rsid w:val="52167A5F"/>
    <w:rsid w:val="528F19C6"/>
    <w:rsid w:val="52D23FA9"/>
    <w:rsid w:val="52E570DA"/>
    <w:rsid w:val="52FE20B8"/>
    <w:rsid w:val="531723BF"/>
    <w:rsid w:val="533F6CB7"/>
    <w:rsid w:val="542E3461"/>
    <w:rsid w:val="544A0D5E"/>
    <w:rsid w:val="546926EB"/>
    <w:rsid w:val="54A92AE8"/>
    <w:rsid w:val="54B41BB8"/>
    <w:rsid w:val="54CA13DC"/>
    <w:rsid w:val="54E029AD"/>
    <w:rsid w:val="54FB77E7"/>
    <w:rsid w:val="554A7415"/>
    <w:rsid w:val="555C085E"/>
    <w:rsid w:val="556A07E1"/>
    <w:rsid w:val="55BA27C5"/>
    <w:rsid w:val="55C51BA3"/>
    <w:rsid w:val="55D156FE"/>
    <w:rsid w:val="564364FA"/>
    <w:rsid w:val="56467571"/>
    <w:rsid w:val="56666EE2"/>
    <w:rsid w:val="56B41B49"/>
    <w:rsid w:val="572A4359"/>
    <w:rsid w:val="57D1482F"/>
    <w:rsid w:val="582A41D3"/>
    <w:rsid w:val="58382B00"/>
    <w:rsid w:val="584771AB"/>
    <w:rsid w:val="586631C9"/>
    <w:rsid w:val="58BA1767"/>
    <w:rsid w:val="590D7AE9"/>
    <w:rsid w:val="59C15707"/>
    <w:rsid w:val="5A0A04CC"/>
    <w:rsid w:val="5A3C57B2"/>
    <w:rsid w:val="5AF30F60"/>
    <w:rsid w:val="5B0373F5"/>
    <w:rsid w:val="5B0B09F5"/>
    <w:rsid w:val="5B2630E4"/>
    <w:rsid w:val="5B7561A2"/>
    <w:rsid w:val="5B7E3312"/>
    <w:rsid w:val="5C0A0310"/>
    <w:rsid w:val="5C0D7E00"/>
    <w:rsid w:val="5D0631CD"/>
    <w:rsid w:val="5D30024A"/>
    <w:rsid w:val="5D5757D7"/>
    <w:rsid w:val="5D9702C9"/>
    <w:rsid w:val="5E23390B"/>
    <w:rsid w:val="5E5D0CEF"/>
    <w:rsid w:val="5E5E4943"/>
    <w:rsid w:val="5EAA35A6"/>
    <w:rsid w:val="5ED75E71"/>
    <w:rsid w:val="5EF57055"/>
    <w:rsid w:val="5EFA466C"/>
    <w:rsid w:val="5F0C1202"/>
    <w:rsid w:val="5F0D6CE9"/>
    <w:rsid w:val="5F37766E"/>
    <w:rsid w:val="5F555D46"/>
    <w:rsid w:val="5F85487D"/>
    <w:rsid w:val="5F950838"/>
    <w:rsid w:val="5FAD6A52"/>
    <w:rsid w:val="5FE86BBA"/>
    <w:rsid w:val="60B91720"/>
    <w:rsid w:val="60F83D92"/>
    <w:rsid w:val="610D086E"/>
    <w:rsid w:val="611B3B25"/>
    <w:rsid w:val="61291238"/>
    <w:rsid w:val="612A5E5E"/>
    <w:rsid w:val="614147D4"/>
    <w:rsid w:val="615362B5"/>
    <w:rsid w:val="618F031D"/>
    <w:rsid w:val="61FA14C7"/>
    <w:rsid w:val="626A0426"/>
    <w:rsid w:val="628F156F"/>
    <w:rsid w:val="62C479D4"/>
    <w:rsid w:val="630C7DDB"/>
    <w:rsid w:val="634B3F00"/>
    <w:rsid w:val="63747FE6"/>
    <w:rsid w:val="63F66A7A"/>
    <w:rsid w:val="63FA71B9"/>
    <w:rsid w:val="642E31A5"/>
    <w:rsid w:val="643B19AE"/>
    <w:rsid w:val="65284B22"/>
    <w:rsid w:val="65843DE6"/>
    <w:rsid w:val="65EB4424"/>
    <w:rsid w:val="65F71905"/>
    <w:rsid w:val="66691B59"/>
    <w:rsid w:val="669045EE"/>
    <w:rsid w:val="66A01CC8"/>
    <w:rsid w:val="66AE605A"/>
    <w:rsid w:val="66C22463"/>
    <w:rsid w:val="66D34495"/>
    <w:rsid w:val="671464E6"/>
    <w:rsid w:val="673821D5"/>
    <w:rsid w:val="67A94E81"/>
    <w:rsid w:val="67C27CF0"/>
    <w:rsid w:val="67C32A05"/>
    <w:rsid w:val="67CB2890"/>
    <w:rsid w:val="68104F00"/>
    <w:rsid w:val="6813108B"/>
    <w:rsid w:val="68221684"/>
    <w:rsid w:val="6833516C"/>
    <w:rsid w:val="68C006D4"/>
    <w:rsid w:val="68C36416"/>
    <w:rsid w:val="68D0480E"/>
    <w:rsid w:val="68ED6FEF"/>
    <w:rsid w:val="694F1A58"/>
    <w:rsid w:val="69764501"/>
    <w:rsid w:val="69C75A92"/>
    <w:rsid w:val="69CD366E"/>
    <w:rsid w:val="6A4B221F"/>
    <w:rsid w:val="6A4C2201"/>
    <w:rsid w:val="6B0831AE"/>
    <w:rsid w:val="6B094B0F"/>
    <w:rsid w:val="6B0E3F81"/>
    <w:rsid w:val="6B365E87"/>
    <w:rsid w:val="6B664736"/>
    <w:rsid w:val="6BC24763"/>
    <w:rsid w:val="6BEB1F0C"/>
    <w:rsid w:val="6BFB292C"/>
    <w:rsid w:val="6C205662"/>
    <w:rsid w:val="6D3D6964"/>
    <w:rsid w:val="6D77332B"/>
    <w:rsid w:val="6D83692E"/>
    <w:rsid w:val="6DA2127C"/>
    <w:rsid w:val="6DC41C0E"/>
    <w:rsid w:val="6E313E22"/>
    <w:rsid w:val="6E7C32EF"/>
    <w:rsid w:val="6E89513B"/>
    <w:rsid w:val="6EA463A2"/>
    <w:rsid w:val="6EC151A6"/>
    <w:rsid w:val="6EDE7B68"/>
    <w:rsid w:val="6EE4568A"/>
    <w:rsid w:val="6F5376EC"/>
    <w:rsid w:val="6FF5192F"/>
    <w:rsid w:val="701003B9"/>
    <w:rsid w:val="70B825D8"/>
    <w:rsid w:val="70E77EE3"/>
    <w:rsid w:val="710E21F8"/>
    <w:rsid w:val="71235CA4"/>
    <w:rsid w:val="713A123F"/>
    <w:rsid w:val="714A76D4"/>
    <w:rsid w:val="715440AF"/>
    <w:rsid w:val="71617C40"/>
    <w:rsid w:val="71CA611F"/>
    <w:rsid w:val="71DE1BCB"/>
    <w:rsid w:val="71F31B1A"/>
    <w:rsid w:val="72676064"/>
    <w:rsid w:val="73426189"/>
    <w:rsid w:val="7346715F"/>
    <w:rsid w:val="73A12E13"/>
    <w:rsid w:val="73D6524F"/>
    <w:rsid w:val="74055AE2"/>
    <w:rsid w:val="74092A6C"/>
    <w:rsid w:val="74827185"/>
    <w:rsid w:val="749869A9"/>
    <w:rsid w:val="74EE2111"/>
    <w:rsid w:val="75121B9E"/>
    <w:rsid w:val="7530098F"/>
    <w:rsid w:val="7541606A"/>
    <w:rsid w:val="7548217D"/>
    <w:rsid w:val="75B07D22"/>
    <w:rsid w:val="75F63182"/>
    <w:rsid w:val="762027B2"/>
    <w:rsid w:val="76406B64"/>
    <w:rsid w:val="76787A26"/>
    <w:rsid w:val="7682521B"/>
    <w:rsid w:val="76876745"/>
    <w:rsid w:val="76B44D25"/>
    <w:rsid w:val="774C75D7"/>
    <w:rsid w:val="77AB4319"/>
    <w:rsid w:val="780409DB"/>
    <w:rsid w:val="780915B3"/>
    <w:rsid w:val="784A7FBA"/>
    <w:rsid w:val="78A141F4"/>
    <w:rsid w:val="78CD54A3"/>
    <w:rsid w:val="792C5912"/>
    <w:rsid w:val="79444A09"/>
    <w:rsid w:val="794A5D98"/>
    <w:rsid w:val="79684283"/>
    <w:rsid w:val="797B6B4F"/>
    <w:rsid w:val="79B80F53"/>
    <w:rsid w:val="79BD2A0E"/>
    <w:rsid w:val="7A1940E8"/>
    <w:rsid w:val="7A1E16FE"/>
    <w:rsid w:val="7A543053"/>
    <w:rsid w:val="7A6843C0"/>
    <w:rsid w:val="7A863362"/>
    <w:rsid w:val="7A9E5C4B"/>
    <w:rsid w:val="7B4F1751"/>
    <w:rsid w:val="7B7446F2"/>
    <w:rsid w:val="7B89704B"/>
    <w:rsid w:val="7B9A6B62"/>
    <w:rsid w:val="7BBD6CF5"/>
    <w:rsid w:val="7C001AA6"/>
    <w:rsid w:val="7C077F70"/>
    <w:rsid w:val="7C286EE2"/>
    <w:rsid w:val="7C507CDC"/>
    <w:rsid w:val="7C8D2D09"/>
    <w:rsid w:val="7CB876AD"/>
    <w:rsid w:val="7CF41262"/>
    <w:rsid w:val="7D0B411A"/>
    <w:rsid w:val="7DB14637"/>
    <w:rsid w:val="7DB22137"/>
    <w:rsid w:val="7E246996"/>
    <w:rsid w:val="7E354CC4"/>
    <w:rsid w:val="7E6E48DB"/>
    <w:rsid w:val="7E7A465F"/>
    <w:rsid w:val="7EAA0AA3"/>
    <w:rsid w:val="7F1223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4DF"/>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rsid w:val="008A34DF"/>
    <w:pPr>
      <w:keepNext/>
      <w:keepLines/>
      <w:spacing w:before="260" w:after="260" w:line="416" w:lineRule="auto"/>
      <w:jc w:val="center"/>
      <w:outlineLvl w:val="1"/>
    </w:pPr>
    <w:rPr>
      <w:rFonts w:asciiTheme="majorHAnsi" w:eastAsia="方正小标宋简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8A34DF"/>
    <w:pPr>
      <w:jc w:val="left"/>
    </w:pPr>
  </w:style>
  <w:style w:type="paragraph" w:styleId="a4">
    <w:name w:val="Balloon Text"/>
    <w:basedOn w:val="a"/>
    <w:link w:val="Char"/>
    <w:uiPriority w:val="99"/>
    <w:semiHidden/>
    <w:unhideWhenUsed/>
    <w:qFormat/>
    <w:rsid w:val="008A34DF"/>
    <w:rPr>
      <w:sz w:val="18"/>
      <w:szCs w:val="18"/>
    </w:rPr>
  </w:style>
  <w:style w:type="paragraph" w:styleId="a5">
    <w:name w:val="footer"/>
    <w:basedOn w:val="a"/>
    <w:link w:val="Char0"/>
    <w:uiPriority w:val="99"/>
    <w:unhideWhenUsed/>
    <w:qFormat/>
    <w:rsid w:val="008A34DF"/>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8A34DF"/>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8A3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qFormat/>
    <w:rsid w:val="008A34DF"/>
    <w:rPr>
      <w:sz w:val="21"/>
      <w:szCs w:val="21"/>
    </w:rPr>
  </w:style>
  <w:style w:type="character" w:customStyle="1" w:styleId="Char1">
    <w:name w:val="页眉 Char"/>
    <w:basedOn w:val="a0"/>
    <w:link w:val="a6"/>
    <w:uiPriority w:val="99"/>
    <w:qFormat/>
    <w:rsid w:val="008A34DF"/>
    <w:rPr>
      <w:sz w:val="18"/>
      <w:szCs w:val="18"/>
    </w:rPr>
  </w:style>
  <w:style w:type="character" w:customStyle="1" w:styleId="Char0">
    <w:name w:val="页脚 Char"/>
    <w:basedOn w:val="a0"/>
    <w:link w:val="a5"/>
    <w:uiPriority w:val="99"/>
    <w:qFormat/>
    <w:rsid w:val="008A34DF"/>
    <w:rPr>
      <w:sz w:val="18"/>
      <w:szCs w:val="18"/>
    </w:rPr>
  </w:style>
  <w:style w:type="character" w:customStyle="1" w:styleId="Char">
    <w:name w:val="批注框文本 Char"/>
    <w:basedOn w:val="a0"/>
    <w:link w:val="a4"/>
    <w:uiPriority w:val="99"/>
    <w:semiHidden/>
    <w:qFormat/>
    <w:rsid w:val="008A34DF"/>
    <w:rPr>
      <w:sz w:val="18"/>
      <w:szCs w:val="18"/>
    </w:rPr>
  </w:style>
  <w:style w:type="paragraph" w:styleId="a9">
    <w:name w:val="List Paragraph"/>
    <w:basedOn w:val="a"/>
    <w:uiPriority w:val="99"/>
    <w:qFormat/>
    <w:rsid w:val="008A34DF"/>
    <w:pPr>
      <w:ind w:firstLineChars="200" w:firstLine="420"/>
    </w:pPr>
  </w:style>
  <w:style w:type="paragraph" w:customStyle="1" w:styleId="WPSOffice1">
    <w:name w:val="WPSOffice手动目录 1"/>
    <w:qFormat/>
    <w:rsid w:val="008A34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23981-0857-4ECB-AB1B-16C20150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gdadr</dc:creator>
  <cp:lastModifiedBy>Administrator</cp:lastModifiedBy>
  <cp:revision>8</cp:revision>
  <cp:lastPrinted>2022-03-28T07:07:00Z</cp:lastPrinted>
  <dcterms:created xsi:type="dcterms:W3CDTF">2022-02-09T09:17:00Z</dcterms:created>
  <dcterms:modified xsi:type="dcterms:W3CDTF">2022-03-30T08:49:00Z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3C818C1AEBEF4DFB9B9ACB055FD0BC38</vt:lpwstr>
  </property>
</Properties>
</file>